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41AD" w:rsidR="009A6541" w:rsidP="00AA16F6" w:rsidRDefault="009A6541" w14:paraId="776ED4C0" w14:textId="77777777">
      <w:pPr>
        <w:pStyle w:val="Default"/>
        <w:jc w:val="center"/>
        <w:rPr>
          <w:b/>
          <w:bCs/>
          <w:sz w:val="23"/>
          <w:szCs w:val="23"/>
        </w:rPr>
      </w:pPr>
    </w:p>
    <w:p w:rsidRPr="006641AD" w:rsidR="008C6196" w:rsidP="00AA16F6" w:rsidRDefault="008C6196" w14:paraId="563633DE" w14:textId="63D98623">
      <w:pPr>
        <w:pStyle w:val="Default"/>
        <w:jc w:val="center"/>
        <w:rPr>
          <w:b w:val="1"/>
          <w:bCs w:val="1"/>
          <w:sz w:val="23"/>
          <w:szCs w:val="23"/>
        </w:rPr>
      </w:pPr>
      <w:r w:rsidRPr="4EF03104" w:rsidR="008C6196">
        <w:rPr>
          <w:b w:val="1"/>
          <w:bCs w:val="1"/>
          <w:sz w:val="23"/>
          <w:szCs w:val="23"/>
        </w:rPr>
        <w:t xml:space="preserve">BIJLAGE </w:t>
      </w:r>
      <w:r w:rsidRPr="4EF03104" w:rsidR="1DF587AD">
        <w:rPr>
          <w:b w:val="1"/>
          <w:bCs w:val="1"/>
          <w:sz w:val="23"/>
          <w:szCs w:val="23"/>
        </w:rPr>
        <w:t>A.1</w:t>
      </w:r>
      <w:r w:rsidRPr="4EF03104" w:rsidR="008C6196">
        <w:rPr>
          <w:b w:val="1"/>
          <w:bCs w:val="1"/>
          <w:sz w:val="23"/>
          <w:szCs w:val="23"/>
        </w:rPr>
        <w:t>. bij het bestek:</w:t>
      </w:r>
    </w:p>
    <w:p w:rsidRPr="006641AD" w:rsidR="00AA16F6" w:rsidP="00AA16F6" w:rsidRDefault="00AA16F6" w14:paraId="48D95224" w14:textId="26E5BAA6">
      <w:pPr>
        <w:pStyle w:val="Default"/>
        <w:jc w:val="center"/>
        <w:rPr>
          <w:sz w:val="23"/>
          <w:szCs w:val="23"/>
        </w:rPr>
      </w:pPr>
      <w:r w:rsidRPr="006641AD">
        <w:rPr>
          <w:b/>
          <w:sz w:val="23"/>
        </w:rPr>
        <w:t>ALGEMENE VERORDENING GEGEVENSBESCHERMING</w:t>
      </w:r>
    </w:p>
    <w:p w:rsidRPr="006641AD" w:rsidR="00AA16F6" w:rsidP="00AA16F6" w:rsidRDefault="00AA16F6" w14:paraId="54310F83" w14:textId="77A7C827">
      <w:pPr>
        <w:pStyle w:val="Default"/>
        <w:jc w:val="center"/>
        <w:rPr>
          <w:sz w:val="23"/>
          <w:szCs w:val="23"/>
        </w:rPr>
      </w:pPr>
      <w:r w:rsidRPr="006641AD">
        <w:rPr>
          <w:b/>
          <w:sz w:val="23"/>
        </w:rPr>
        <w:t>ALGEMENE VOORWAARDEN VOOR DE VERWERKING VAN GEGEVENS</w:t>
      </w:r>
    </w:p>
    <w:p w:rsidRPr="006641AD" w:rsidR="00AA16F6" w:rsidP="00AA16F6" w:rsidRDefault="00AA16F6" w14:paraId="471CA630" w14:textId="77777777">
      <w:pPr>
        <w:pStyle w:val="Default"/>
        <w:rPr>
          <w:sz w:val="23"/>
          <w:szCs w:val="23"/>
        </w:rPr>
      </w:pPr>
    </w:p>
    <w:p w:rsidRPr="006641AD" w:rsidR="00DA3C1B" w:rsidP="683CC3A6" w:rsidRDefault="00FB4BBE" w14:paraId="1673B0AD" w14:textId="646CF8AC">
      <w:pPr>
        <w:pStyle w:val="Default"/>
        <w:jc w:val="both"/>
        <w:rPr>
          <w:sz w:val="22"/>
          <w:szCs w:val="22"/>
        </w:rPr>
      </w:pPr>
      <w:r w:rsidRPr="683CC3A6">
        <w:rPr>
          <w:sz w:val="22"/>
          <w:szCs w:val="22"/>
        </w:rPr>
        <w:t xml:space="preserve">Deze algemene voorwaarden zijn van toepassing in het kader van de onderaanneming van persoonsgegevens door de Openbare Huisvestingsmaatschappij </w:t>
      </w:r>
      <w:r w:rsidRPr="683CC3A6" w:rsidR="2A340FFB">
        <w:rPr>
          <w:color w:val="FF0000"/>
          <w:sz w:val="22"/>
          <w:szCs w:val="22"/>
        </w:rPr>
        <w:t>XXX</w:t>
      </w:r>
      <w:r w:rsidRPr="683CC3A6" w:rsidR="3E8DC219">
        <w:rPr>
          <w:color w:val="FF0000"/>
          <w:sz w:val="22"/>
          <w:szCs w:val="22"/>
        </w:rPr>
        <w:t xml:space="preserve"> </w:t>
      </w:r>
      <w:r w:rsidRPr="683CC3A6">
        <w:rPr>
          <w:color w:val="FF0000"/>
          <w:sz w:val="22"/>
          <w:szCs w:val="22"/>
        </w:rPr>
        <w:t>(naam van de OVM)</w:t>
      </w:r>
      <w:r w:rsidRPr="683CC3A6" w:rsidR="6FFDDB25">
        <w:rPr>
          <w:sz w:val="22"/>
          <w:szCs w:val="22"/>
        </w:rPr>
        <w:t xml:space="preserve"> </w:t>
      </w:r>
      <w:r w:rsidRPr="683CC3A6">
        <w:rPr>
          <w:sz w:val="22"/>
          <w:szCs w:val="22"/>
        </w:rPr>
        <w:t xml:space="preserve">met maatschappelijke zetel te </w:t>
      </w:r>
      <w:r w:rsidRPr="683CC3A6">
        <w:rPr>
          <w:color w:val="FF0000"/>
          <w:sz w:val="22"/>
          <w:szCs w:val="22"/>
        </w:rPr>
        <w:t>XXX</w:t>
      </w:r>
      <w:r w:rsidRPr="683CC3A6">
        <w:rPr>
          <w:sz w:val="22"/>
          <w:szCs w:val="22"/>
        </w:rPr>
        <w:t xml:space="preserve"> in </w:t>
      </w:r>
      <w:r w:rsidRPr="683CC3A6" w:rsidR="02FE12DD">
        <w:rPr>
          <w:color w:val="FF0000"/>
          <w:sz w:val="22"/>
          <w:szCs w:val="22"/>
        </w:rPr>
        <w:t>X</w:t>
      </w:r>
      <w:r w:rsidRPr="683CC3A6">
        <w:rPr>
          <w:color w:val="FF0000"/>
          <w:sz w:val="22"/>
          <w:szCs w:val="22"/>
        </w:rPr>
        <w:t>XX</w:t>
      </w:r>
      <w:r w:rsidRPr="683CC3A6">
        <w:rPr>
          <w:sz w:val="22"/>
          <w:szCs w:val="22"/>
        </w:rPr>
        <w:t xml:space="preserve"> Brussel, ingeschreven in de Kruispuntbank voor Ondernemingen onder het numme</w:t>
      </w:r>
      <w:r w:rsidRPr="683CC3A6" w:rsidR="3B04DBCB">
        <w:rPr>
          <w:sz w:val="22"/>
          <w:szCs w:val="22"/>
        </w:rPr>
        <w:t xml:space="preserve">r </w:t>
      </w:r>
      <w:r w:rsidRPr="683CC3A6" w:rsidR="3B04DBCB">
        <w:rPr>
          <w:color w:val="FF0000"/>
          <w:sz w:val="22"/>
          <w:szCs w:val="22"/>
        </w:rPr>
        <w:t>XXX</w:t>
      </w:r>
      <w:r w:rsidRPr="683CC3A6">
        <w:rPr>
          <w:sz w:val="22"/>
          <w:szCs w:val="22"/>
        </w:rPr>
        <w:t xml:space="preserve">, hierna genoemd ‘De OVM’.  </w:t>
      </w:r>
    </w:p>
    <w:p w:rsidRPr="006641AD" w:rsidR="00AA16F6" w:rsidP="683CC3A6" w:rsidRDefault="00AA16F6" w14:paraId="529D617C" w14:textId="77777777">
      <w:pPr>
        <w:pStyle w:val="Default"/>
        <w:jc w:val="both"/>
        <w:rPr>
          <w:sz w:val="22"/>
          <w:szCs w:val="22"/>
          <w:highlight w:val="yellow"/>
        </w:rPr>
      </w:pPr>
    </w:p>
    <w:p w:rsidRPr="006641AD" w:rsidR="00AA16F6" w:rsidP="683CC3A6" w:rsidRDefault="00126E70" w14:paraId="4A7372C3" w14:textId="665BA7E6">
      <w:pPr>
        <w:pStyle w:val="Default"/>
        <w:jc w:val="both"/>
        <w:rPr>
          <w:sz w:val="22"/>
          <w:szCs w:val="22"/>
        </w:rPr>
      </w:pPr>
      <w:r w:rsidRPr="683CC3A6">
        <w:rPr>
          <w:sz w:val="22"/>
          <w:szCs w:val="22"/>
        </w:rPr>
        <w:t xml:space="preserve">De OVM, als </w:t>
      </w:r>
      <w:r w:rsidRPr="683CC3A6">
        <w:rPr>
          <w:i/>
          <w:iCs/>
          <w:sz w:val="22"/>
          <w:szCs w:val="22"/>
        </w:rPr>
        <w:t xml:space="preserve">verantwoordelijke voor de verwerking </w:t>
      </w:r>
      <w:r w:rsidRPr="683CC3A6">
        <w:rPr>
          <w:sz w:val="22"/>
          <w:szCs w:val="22"/>
        </w:rPr>
        <w:t xml:space="preserve">in de zin van de Algemene Verordening Gegevensbescherming (hierna ‘AVG’), en de </w:t>
      </w:r>
      <w:r w:rsidRPr="683CC3A6" w:rsidR="58780173">
        <w:rPr>
          <w:sz w:val="22"/>
          <w:szCs w:val="22"/>
        </w:rPr>
        <w:t>opdrachtnemer (</w:t>
      </w:r>
      <w:r w:rsidRPr="683CC3A6">
        <w:rPr>
          <w:i/>
          <w:iCs/>
          <w:sz w:val="22"/>
          <w:szCs w:val="22"/>
        </w:rPr>
        <w:t>onderaannemer</w:t>
      </w:r>
      <w:r w:rsidRPr="683CC3A6" w:rsidR="5AC58F57">
        <w:rPr>
          <w:i/>
          <w:iCs/>
          <w:sz w:val="22"/>
          <w:szCs w:val="22"/>
        </w:rPr>
        <w:t xml:space="preserve"> in de zin van AVG)</w:t>
      </w:r>
      <w:r w:rsidRPr="683CC3A6">
        <w:rPr>
          <w:i/>
          <w:iCs/>
          <w:sz w:val="22"/>
          <w:szCs w:val="22"/>
        </w:rPr>
        <w:t xml:space="preserve"> </w:t>
      </w:r>
      <w:r w:rsidRPr="683CC3A6">
        <w:rPr>
          <w:sz w:val="22"/>
          <w:szCs w:val="22"/>
        </w:rPr>
        <w:t>zijn een contractuele relatie aangegaan waarbij de OVM de verwerking van persoonsgegevens aan de o</w:t>
      </w:r>
      <w:r w:rsidRPr="683CC3A6" w:rsidR="31E80FCA">
        <w:rPr>
          <w:sz w:val="22"/>
          <w:szCs w:val="22"/>
        </w:rPr>
        <w:t>pdrachtnemer</w:t>
      </w:r>
      <w:r w:rsidRPr="683CC3A6">
        <w:rPr>
          <w:sz w:val="22"/>
          <w:szCs w:val="22"/>
        </w:rPr>
        <w:t xml:space="preserve"> toevertrouwt. </w:t>
      </w:r>
    </w:p>
    <w:p w:rsidRPr="006641AD" w:rsidR="00AA16F6" w:rsidP="683CC3A6" w:rsidRDefault="00AA16F6" w14:paraId="0C2A8001" w14:textId="77777777">
      <w:pPr>
        <w:pStyle w:val="Default"/>
        <w:jc w:val="both"/>
        <w:rPr>
          <w:sz w:val="22"/>
          <w:szCs w:val="22"/>
        </w:rPr>
      </w:pPr>
    </w:p>
    <w:p w:rsidRPr="006641AD" w:rsidR="00AA16F6" w:rsidP="683CC3A6" w:rsidRDefault="00AA16F6" w14:paraId="4A06921C" w14:textId="7AB1A597">
      <w:pPr>
        <w:pStyle w:val="Default"/>
        <w:jc w:val="both"/>
        <w:rPr>
          <w:sz w:val="22"/>
          <w:szCs w:val="22"/>
        </w:rPr>
      </w:pPr>
      <w:r w:rsidRPr="683CC3A6">
        <w:rPr>
          <w:sz w:val="22"/>
          <w:szCs w:val="22"/>
        </w:rPr>
        <w:t xml:space="preserve">Deze algemene voorwaarden maken integraal deel uit van de contractuele bepalingen tussen de partijen.  </w:t>
      </w:r>
    </w:p>
    <w:p w:rsidR="683CC3A6" w:rsidP="683CC3A6" w:rsidRDefault="683CC3A6" w14:paraId="3D4B26BC" w14:textId="0ACF0F5A">
      <w:pPr>
        <w:pStyle w:val="Default"/>
        <w:jc w:val="both"/>
        <w:rPr>
          <w:sz w:val="23"/>
          <w:szCs w:val="23"/>
        </w:rPr>
      </w:pPr>
    </w:p>
    <w:tbl>
      <w:tblPr>
        <w:tblStyle w:val="Tabelraster"/>
        <w:tblW w:w="0" w:type="auto"/>
        <w:tblLayout w:type="fixed"/>
        <w:tblLook w:val="06A0" w:firstRow="1" w:lastRow="0" w:firstColumn="1" w:lastColumn="0" w:noHBand="1" w:noVBand="1"/>
      </w:tblPr>
      <w:tblGrid>
        <w:gridCol w:w="9015"/>
      </w:tblGrid>
      <w:tr w:rsidR="683CC3A6" w:rsidTr="683CC3A6" w14:paraId="6E410BED" w14:textId="77777777">
        <w:trPr>
          <w:trHeight w:val="300"/>
        </w:trPr>
        <w:tc>
          <w:tcPr>
            <w:tcW w:w="9015" w:type="dxa"/>
            <w:vAlign w:val="center"/>
          </w:tcPr>
          <w:p w:rsidR="396F0355" w:rsidP="683CC3A6" w:rsidRDefault="396F0355" w14:paraId="543F2A41" w14:textId="1C601804">
            <w:pPr>
              <w:pStyle w:val="Default"/>
              <w:jc w:val="center"/>
              <w:rPr>
                <w:i/>
                <w:iCs/>
                <w:color w:val="FF0000"/>
                <w:sz w:val="22"/>
                <w:szCs w:val="22"/>
                <w:u w:val="single"/>
              </w:rPr>
            </w:pPr>
            <w:r w:rsidRPr="683CC3A6">
              <w:rPr>
                <w:i/>
                <w:iCs/>
                <w:color w:val="FF0000"/>
                <w:sz w:val="22"/>
                <w:szCs w:val="22"/>
                <w:u w:val="single"/>
              </w:rPr>
              <w:t>Richtlijnen a</w:t>
            </w:r>
            <w:r w:rsidR="000F5455">
              <w:rPr>
                <w:i/>
                <w:iCs/>
                <w:color w:val="FF0000"/>
                <w:sz w:val="22"/>
                <w:szCs w:val="22"/>
                <w:u w:val="single"/>
              </w:rPr>
              <w:t>a</w:t>
            </w:r>
            <w:r w:rsidRPr="683CC3A6">
              <w:rPr>
                <w:i/>
                <w:iCs/>
                <w:color w:val="FF0000"/>
                <w:sz w:val="22"/>
                <w:szCs w:val="22"/>
                <w:u w:val="single"/>
              </w:rPr>
              <w:t xml:space="preserve">n de OVM: </w:t>
            </w:r>
          </w:p>
          <w:p w:rsidR="396F0355" w:rsidP="683CC3A6" w:rsidRDefault="396F0355" w14:paraId="74E73AC1" w14:textId="664E9E65">
            <w:pPr>
              <w:pStyle w:val="Default"/>
              <w:jc w:val="center"/>
              <w:rPr>
                <w:i/>
                <w:iCs/>
                <w:color w:val="FF0000"/>
                <w:sz w:val="22"/>
                <w:szCs w:val="22"/>
              </w:rPr>
            </w:pPr>
            <w:r w:rsidRPr="683CC3A6">
              <w:rPr>
                <w:i/>
                <w:iCs/>
                <w:color w:val="FF0000"/>
                <w:sz w:val="22"/>
                <w:szCs w:val="22"/>
              </w:rPr>
              <w:t>Deze algemene voorwaarden worden gepreciseerd in een verwerkingsfiche die door de OVM en door de opdrachtnemer moet worden ingevuld. Deze fiche bevat de bijzonderheden betreffende de aard en de finaliteit van de verwerking voor het type persoonsgegevens en de categorieën betrokken personen.</w:t>
            </w:r>
          </w:p>
        </w:tc>
      </w:tr>
    </w:tbl>
    <w:p w:rsidRPr="006641AD" w:rsidR="00AA16F6" w:rsidP="683CC3A6" w:rsidRDefault="00AA16F6" w14:paraId="034CA85B" w14:textId="129D01B9">
      <w:pPr>
        <w:pStyle w:val="Default"/>
        <w:jc w:val="both"/>
        <w:rPr>
          <w:color w:val="FF0000"/>
          <w:sz w:val="23"/>
          <w:szCs w:val="23"/>
        </w:rPr>
      </w:pPr>
      <w:r w:rsidRPr="683CC3A6">
        <w:rPr>
          <w:color w:val="FF0000"/>
          <w:sz w:val="23"/>
          <w:szCs w:val="23"/>
        </w:rPr>
        <w:t xml:space="preserve"> </w:t>
      </w:r>
    </w:p>
    <w:p w:rsidRPr="005748E3" w:rsidR="005748E3" w:rsidP="0067023C" w:rsidRDefault="005748E3" w14:paraId="1A3B4389" w14:textId="733B2985">
      <w:pPr>
        <w:spacing w:after="200" w:line="276" w:lineRule="auto"/>
        <w:ind w:left="-20" w:right="-20"/>
        <w:jc w:val="both"/>
        <w:rPr>
          <w:rFonts w:eastAsia="Century Gothic" w:cstheme="minorHAnsi"/>
          <w:i/>
          <w:iCs/>
        </w:rPr>
      </w:pPr>
      <w:r w:rsidRPr="005748E3">
        <w:rPr>
          <w:rFonts w:eastAsia="Century Gothic" w:cstheme="minorHAnsi"/>
          <w:i/>
          <w:iCs/>
        </w:rPr>
        <w:t xml:space="preserve">NB: De termen ‘verantwoordelijke voor de verwerking’, ‘onderaannemer’, ’betrokkene’, ‘persoonsgegevens’, ‘inbreuk in verband met persoonsgegevens’ en ‘verwerking’ hebben dezelfde definitie als in de wetgeving inzake gegevensbescherming. De termen ‘verwerkt’ en ‘verwerken’ moeten worden geïnterpreteerd in overeenstemming met de definitie van ‘verwerking’. </w:t>
      </w:r>
    </w:p>
    <w:p w:rsidRPr="005748E3" w:rsidR="005748E3" w:rsidP="005748E3" w:rsidRDefault="005748E3" w14:paraId="54E01B78" w14:textId="461A5FDE">
      <w:pPr>
        <w:spacing w:after="200" w:line="276" w:lineRule="auto"/>
        <w:ind w:left="-20" w:right="-20"/>
        <w:jc w:val="both"/>
        <w:rPr>
          <w:rFonts w:eastAsia="Century Gothic" w:cstheme="minorHAnsi"/>
          <w:i/>
          <w:iCs/>
        </w:rPr>
      </w:pPr>
      <w:r w:rsidRPr="005748E3">
        <w:rPr>
          <w:rFonts w:eastAsia="Century Gothic" w:cstheme="minorHAnsi"/>
          <w:i/>
          <w:iCs/>
        </w:rPr>
        <w:t xml:space="preserve">In het kader van deze opdracht zal de onderaannemer (de opdrachtnemer) handelen </w:t>
      </w:r>
      <w:r w:rsidR="00F974D7">
        <w:rPr>
          <w:rFonts w:eastAsia="Century Gothic" w:cstheme="minorHAnsi"/>
          <w:i/>
          <w:iCs/>
        </w:rPr>
        <w:t>namens</w:t>
      </w:r>
      <w:r w:rsidRPr="005748E3">
        <w:rPr>
          <w:rFonts w:eastAsia="Century Gothic" w:cstheme="minorHAnsi"/>
          <w:i/>
          <w:iCs/>
        </w:rPr>
        <w:t xml:space="preserve"> en voor rekening van de verantwoordelijke voor de verwerking.</w:t>
      </w:r>
    </w:p>
    <w:p w:rsidRPr="005748E3" w:rsidR="005748E3" w:rsidP="005748E3" w:rsidRDefault="005748E3" w14:paraId="48D28577" w14:textId="3FB4DA56">
      <w:pPr>
        <w:spacing w:after="200" w:line="276" w:lineRule="auto"/>
        <w:ind w:left="-20" w:right="-20"/>
        <w:jc w:val="both"/>
        <w:rPr>
          <w:rFonts w:eastAsia="Century Gothic" w:cstheme="minorHAnsi"/>
          <w:i/>
          <w:iCs/>
        </w:rPr>
      </w:pPr>
      <w:r w:rsidRPr="005748E3">
        <w:rPr>
          <w:rFonts w:eastAsia="Century Gothic" w:cstheme="minorHAnsi"/>
          <w:i/>
          <w:iCs/>
        </w:rPr>
        <w:t>De verantwoordelijke voor de verwerking (OVM) verstrekt de onderaannemer (opdrachtnemer) persoonsgegevens (zoals gedefinieerd in de AVG) waarvoor hij verantwoordelijk is.</w:t>
      </w:r>
    </w:p>
    <w:p w:rsidR="005748E3" w:rsidP="005748E3" w:rsidRDefault="005748E3" w14:paraId="5DD76813" w14:textId="77777777">
      <w:pPr>
        <w:spacing w:after="200" w:line="276" w:lineRule="auto"/>
        <w:ind w:left="-20" w:right="-20"/>
        <w:jc w:val="both"/>
        <w:rPr>
          <w:rFonts w:ascii="Century Gothic" w:hAnsi="Century Gothic" w:eastAsia="Century Gothic" w:cs="Century Gothic"/>
          <w:i/>
          <w:iCs/>
          <w:sz w:val="20"/>
          <w:szCs w:val="20"/>
        </w:rPr>
      </w:pPr>
    </w:p>
    <w:p w:rsidRPr="006641AD" w:rsidR="00AA16F6" w:rsidP="00AA16F6" w:rsidRDefault="00AA16F6" w14:paraId="5D753438" w14:textId="64CC8D19">
      <w:pPr>
        <w:pStyle w:val="Default"/>
        <w:numPr>
          <w:ilvl w:val="0"/>
          <w:numId w:val="1"/>
        </w:numPr>
        <w:jc w:val="both"/>
        <w:rPr>
          <w:b/>
          <w:bCs/>
          <w:sz w:val="23"/>
          <w:szCs w:val="23"/>
          <w:u w:val="single"/>
        </w:rPr>
      </w:pPr>
      <w:r w:rsidRPr="006641AD">
        <w:rPr>
          <w:b/>
          <w:sz w:val="23"/>
          <w:u w:val="single"/>
        </w:rPr>
        <w:t xml:space="preserve">VOORWERP </w:t>
      </w:r>
    </w:p>
    <w:p w:rsidRPr="006641AD" w:rsidR="00AA16F6" w:rsidP="683CC3A6" w:rsidRDefault="00AA16F6" w14:paraId="4623A767" w14:textId="77777777">
      <w:pPr>
        <w:pStyle w:val="Default"/>
        <w:jc w:val="both"/>
        <w:rPr>
          <w:sz w:val="22"/>
          <w:szCs w:val="22"/>
        </w:rPr>
      </w:pPr>
    </w:p>
    <w:p w:rsidRPr="006641AD" w:rsidR="00AA16F6" w:rsidP="683CC3A6" w:rsidRDefault="00126E70" w14:paraId="503D9628" w14:textId="6553946A">
      <w:pPr>
        <w:pStyle w:val="Default"/>
        <w:jc w:val="both"/>
        <w:rPr>
          <w:sz w:val="22"/>
          <w:szCs w:val="22"/>
        </w:rPr>
      </w:pPr>
      <w:r w:rsidRPr="683CC3A6">
        <w:rPr>
          <w:sz w:val="22"/>
          <w:szCs w:val="22"/>
        </w:rPr>
        <w:t>De OVM verzamelt persoonsgegevens waarvoor zij bepaalde aspecten van de verwerking wenst toe te vertrouwen aan de o</w:t>
      </w:r>
      <w:r w:rsidRPr="683CC3A6" w:rsidR="2B2C049A">
        <w:rPr>
          <w:sz w:val="22"/>
          <w:szCs w:val="22"/>
        </w:rPr>
        <w:t>pdrachtnemer</w:t>
      </w:r>
      <w:r w:rsidRPr="683CC3A6">
        <w:rPr>
          <w:sz w:val="22"/>
          <w:szCs w:val="22"/>
        </w:rPr>
        <w:t>, die dan toegang zal hebben en de door de OVM verstrekte persoonsgegevens zal verwerken als onderaannemer</w:t>
      </w:r>
      <w:r w:rsidRPr="683CC3A6" w:rsidR="5074ADC9">
        <w:rPr>
          <w:sz w:val="22"/>
          <w:szCs w:val="22"/>
        </w:rPr>
        <w:t xml:space="preserve"> (= opdrachtnemer)</w:t>
      </w:r>
      <w:r w:rsidRPr="683CC3A6">
        <w:rPr>
          <w:sz w:val="22"/>
          <w:szCs w:val="22"/>
        </w:rPr>
        <w:t xml:space="preserve"> in de zin van de AVG.  </w:t>
      </w:r>
    </w:p>
    <w:p w:rsidRPr="006641AD" w:rsidR="00AA16F6" w:rsidP="00AA16F6" w:rsidRDefault="00AA16F6" w14:paraId="70508D1C" w14:textId="77777777">
      <w:pPr>
        <w:jc w:val="both"/>
        <w:rPr>
          <w:sz w:val="23"/>
          <w:szCs w:val="23"/>
        </w:rPr>
      </w:pPr>
    </w:p>
    <w:p w:rsidR="00AA16F6" w:rsidP="00AA16F6" w:rsidRDefault="00AA16F6" w14:paraId="11573199" w14:textId="61D1AFD8">
      <w:pPr>
        <w:jc w:val="both"/>
        <w:rPr>
          <w:sz w:val="23"/>
          <w:szCs w:val="23"/>
        </w:rPr>
      </w:pPr>
      <w:r>
        <w:t>Deze algemene voorwaarden hebben als voorwerp het regelen van de uitvoering en de organisatie van de verwerking van persoonsgegevens door de o</w:t>
      </w:r>
      <w:r w:rsidR="63243ED3">
        <w:t>pdrachtnemer.</w:t>
      </w:r>
      <w:r w:rsidRPr="683CC3A6">
        <w:rPr>
          <w:sz w:val="23"/>
          <w:szCs w:val="23"/>
        </w:rPr>
        <w:t xml:space="preserve"> </w:t>
      </w:r>
      <w:r>
        <w:t>De o</w:t>
      </w:r>
      <w:r w:rsidR="39DC9C1E">
        <w:t xml:space="preserve">pdrachtnemer </w:t>
      </w:r>
      <w:r>
        <w:t>handelt uitsluitend namens en overeenkomstig de instructies van de OVM, en raadpleegt en/of verwerkt persoonsgegevens alleen indien en voor zover dat noodzakelijk is voor de uitvoering van de overeenkomst tussen de partijen.</w:t>
      </w:r>
      <w:r w:rsidRPr="683CC3A6">
        <w:rPr>
          <w:sz w:val="23"/>
          <w:szCs w:val="23"/>
        </w:rPr>
        <w:t xml:space="preserve"> </w:t>
      </w:r>
    </w:p>
    <w:p w:rsidR="0067023C" w:rsidP="00AA16F6" w:rsidRDefault="0067023C" w14:paraId="3839A038" w14:textId="77777777">
      <w:pPr>
        <w:jc w:val="both"/>
        <w:rPr>
          <w:sz w:val="23"/>
          <w:szCs w:val="23"/>
        </w:rPr>
      </w:pPr>
    </w:p>
    <w:p w:rsidRPr="006641AD" w:rsidR="0067023C" w:rsidP="00AA16F6" w:rsidRDefault="0067023C" w14:paraId="29836111" w14:textId="77777777">
      <w:pPr>
        <w:jc w:val="both"/>
        <w:rPr>
          <w:sz w:val="23"/>
          <w:szCs w:val="23"/>
        </w:rPr>
      </w:pPr>
    </w:p>
    <w:p w:rsidRPr="006641AD" w:rsidR="00AA16F6" w:rsidP="00AA16F6" w:rsidRDefault="00AA16F6" w14:paraId="59167759" w14:textId="0AAA35E8">
      <w:pPr>
        <w:pStyle w:val="Default"/>
        <w:numPr>
          <w:ilvl w:val="0"/>
          <w:numId w:val="1"/>
        </w:numPr>
        <w:jc w:val="both"/>
        <w:rPr>
          <w:b/>
          <w:bCs/>
          <w:sz w:val="23"/>
          <w:szCs w:val="23"/>
          <w:u w:val="single"/>
        </w:rPr>
      </w:pPr>
      <w:r w:rsidRPr="683CC3A6">
        <w:rPr>
          <w:b/>
          <w:bCs/>
          <w:sz w:val="23"/>
          <w:szCs w:val="23"/>
          <w:u w:val="single"/>
        </w:rPr>
        <w:t>BESCHRIJVING VAN DE VERWERKING</w:t>
      </w:r>
      <w:r w:rsidRPr="683CC3A6" w:rsidR="50F8DFEB">
        <w:rPr>
          <w:b/>
          <w:bCs/>
          <w:sz w:val="23"/>
          <w:szCs w:val="23"/>
          <w:u w:val="single"/>
        </w:rPr>
        <w:t xml:space="preserve"> </w:t>
      </w:r>
      <w:r w:rsidRPr="683CC3A6" w:rsidR="50F8DFEB">
        <w:rPr>
          <w:b/>
          <w:bCs/>
          <w:i/>
          <w:iCs/>
          <w:sz w:val="18"/>
          <w:szCs w:val="18"/>
          <w:u w:val="single"/>
        </w:rPr>
        <w:t>(Cf. Bijlage III.9bis)</w:t>
      </w:r>
      <w:r w:rsidRPr="683CC3A6">
        <w:rPr>
          <w:b/>
          <w:bCs/>
          <w:sz w:val="18"/>
          <w:szCs w:val="18"/>
        </w:rPr>
        <w:t xml:space="preserve"> </w:t>
      </w:r>
    </w:p>
    <w:p w:rsidRPr="006641AD" w:rsidR="00AA16F6" w:rsidP="00AA16F6" w:rsidRDefault="00AA16F6" w14:paraId="4DED7716" w14:textId="77777777">
      <w:pPr>
        <w:pStyle w:val="Default"/>
        <w:jc w:val="both"/>
        <w:rPr>
          <w:sz w:val="23"/>
          <w:szCs w:val="23"/>
        </w:rPr>
      </w:pPr>
    </w:p>
    <w:p w:rsidRPr="006641AD" w:rsidR="00AA16F6" w:rsidP="683CC3A6" w:rsidRDefault="00AA16F6" w14:paraId="29FE5418" w14:textId="1A13FB7C">
      <w:pPr>
        <w:pStyle w:val="Default"/>
        <w:jc w:val="both"/>
        <w:rPr>
          <w:color w:val="FF0000"/>
          <w:sz w:val="22"/>
          <w:szCs w:val="22"/>
        </w:rPr>
      </w:pPr>
      <w:r w:rsidRPr="683CC3A6">
        <w:rPr>
          <w:sz w:val="22"/>
          <w:szCs w:val="22"/>
        </w:rPr>
        <w:t>De o</w:t>
      </w:r>
      <w:r w:rsidRPr="683CC3A6" w:rsidR="21C92405">
        <w:rPr>
          <w:sz w:val="22"/>
          <w:szCs w:val="22"/>
        </w:rPr>
        <w:t xml:space="preserve">pdrachtnemer </w:t>
      </w:r>
      <w:r w:rsidRPr="683CC3A6">
        <w:rPr>
          <w:sz w:val="22"/>
          <w:szCs w:val="22"/>
        </w:rPr>
        <w:t xml:space="preserve">is gemachtigd om namens de OVM bepaalde categorieën van persoonsgegevens te verwerken overeenkomstig de finaliteiten </w:t>
      </w:r>
      <w:r w:rsidRPr="683CC3A6">
        <w:rPr>
          <w:color w:val="auto"/>
          <w:sz w:val="22"/>
          <w:szCs w:val="22"/>
        </w:rPr>
        <w:t xml:space="preserve">die gedefinieerd zijn in de onderaannemingsfiche en overeenkomstig de instructies van de OVM. </w:t>
      </w:r>
    </w:p>
    <w:p w:rsidRPr="006641AD" w:rsidR="00AA16F6" w:rsidP="683CC3A6" w:rsidRDefault="00AA16F6" w14:paraId="5B2587BB" w14:textId="77777777">
      <w:pPr>
        <w:pStyle w:val="Default"/>
        <w:jc w:val="both"/>
        <w:rPr>
          <w:sz w:val="22"/>
          <w:szCs w:val="22"/>
        </w:rPr>
      </w:pPr>
    </w:p>
    <w:p w:rsidRPr="006641AD" w:rsidR="00AA16F6" w:rsidP="683CC3A6" w:rsidRDefault="00AA16F6" w14:paraId="1CECF30A" w14:textId="4C98ED6B">
      <w:pPr>
        <w:pStyle w:val="Default"/>
        <w:jc w:val="both"/>
        <w:rPr>
          <w:sz w:val="22"/>
          <w:szCs w:val="22"/>
        </w:rPr>
      </w:pPr>
      <w:r w:rsidRPr="683CC3A6">
        <w:rPr>
          <w:sz w:val="22"/>
          <w:szCs w:val="22"/>
        </w:rPr>
        <w:t>Op voorafgaand schriftelijk verzoek van de OVM is het toch mogelijk dat de o</w:t>
      </w:r>
      <w:r w:rsidRPr="683CC3A6" w:rsidR="6223C443">
        <w:rPr>
          <w:sz w:val="22"/>
          <w:szCs w:val="22"/>
        </w:rPr>
        <w:t>pdrachtnemer</w:t>
      </w:r>
      <w:r w:rsidRPr="683CC3A6">
        <w:rPr>
          <w:sz w:val="22"/>
          <w:szCs w:val="22"/>
        </w:rPr>
        <w:t xml:space="preserve"> gegevens moet verwerken voor finaliteiten die nog niet zijn voorzien. </w:t>
      </w:r>
    </w:p>
    <w:p w:rsidRPr="006641AD" w:rsidR="00AA16F6" w:rsidP="683CC3A6" w:rsidRDefault="00AA16F6" w14:paraId="0B223E5E" w14:textId="77777777">
      <w:pPr>
        <w:pStyle w:val="Default"/>
        <w:jc w:val="both"/>
        <w:rPr>
          <w:sz w:val="22"/>
          <w:szCs w:val="22"/>
        </w:rPr>
      </w:pPr>
    </w:p>
    <w:p w:rsidRPr="006641AD" w:rsidR="00AA16F6" w:rsidP="683CC3A6" w:rsidRDefault="00AA16F6" w14:paraId="493483B3" w14:textId="68BAADD4">
      <w:pPr>
        <w:pStyle w:val="Default"/>
        <w:jc w:val="both"/>
        <w:rPr>
          <w:sz w:val="22"/>
          <w:szCs w:val="22"/>
        </w:rPr>
      </w:pPr>
      <w:r w:rsidRPr="683CC3A6">
        <w:rPr>
          <w:sz w:val="22"/>
          <w:szCs w:val="22"/>
        </w:rPr>
        <w:t>Indien de o</w:t>
      </w:r>
      <w:r w:rsidRPr="683CC3A6" w:rsidR="20B9AF55">
        <w:rPr>
          <w:sz w:val="22"/>
          <w:szCs w:val="22"/>
        </w:rPr>
        <w:t>pdrachtnemer</w:t>
      </w:r>
      <w:r w:rsidRPr="683CC3A6">
        <w:rPr>
          <w:sz w:val="22"/>
          <w:szCs w:val="22"/>
        </w:rPr>
        <w:t xml:space="preserve"> krachtens een wettelijke verplichting die voortvloeit uit het recht van de Europese Unie of het recht van de lidstaat waaraan hij onderworpen is, verplicht is gegevens te verwerken buiten de in deze overeenkomst overeengekomen taken, zal hij de OVM daarvan vooraf in kennis stellen.</w:t>
      </w:r>
    </w:p>
    <w:p w:rsidRPr="006641AD" w:rsidR="00AA16F6" w:rsidP="683CC3A6" w:rsidRDefault="00AA16F6" w14:paraId="378F0594" w14:textId="77777777">
      <w:pPr>
        <w:pStyle w:val="Default"/>
        <w:jc w:val="both"/>
        <w:rPr>
          <w:sz w:val="22"/>
          <w:szCs w:val="22"/>
        </w:rPr>
      </w:pPr>
    </w:p>
    <w:p w:rsidRPr="006641AD" w:rsidR="00AA16F6" w:rsidP="00AA16F6" w:rsidRDefault="00AA16F6" w14:paraId="1B1FE144" w14:textId="77777777">
      <w:pPr>
        <w:pStyle w:val="Default"/>
        <w:jc w:val="both"/>
        <w:rPr>
          <w:b/>
          <w:bCs/>
          <w:sz w:val="23"/>
          <w:szCs w:val="23"/>
        </w:rPr>
      </w:pPr>
    </w:p>
    <w:p w:rsidRPr="006641AD" w:rsidR="00AA16F6" w:rsidP="00AA16F6" w:rsidRDefault="00AA16F6" w14:paraId="58480ADD" w14:textId="1E336CEA">
      <w:pPr>
        <w:pStyle w:val="Default"/>
        <w:numPr>
          <w:ilvl w:val="0"/>
          <w:numId w:val="1"/>
        </w:numPr>
        <w:jc w:val="both"/>
        <w:rPr>
          <w:b/>
          <w:bCs/>
          <w:sz w:val="23"/>
          <w:szCs w:val="23"/>
          <w:u w:val="single"/>
        </w:rPr>
      </w:pPr>
      <w:r w:rsidRPr="006641AD">
        <w:rPr>
          <w:b/>
          <w:sz w:val="23"/>
          <w:u w:val="single"/>
        </w:rPr>
        <w:t xml:space="preserve">VERPLICHTINGEN VAN DE ONDERAANNEMER/DIENSTVERLENER </w:t>
      </w:r>
    </w:p>
    <w:p w:rsidRPr="006641AD" w:rsidR="00AA16F6" w:rsidP="00AA16F6" w:rsidRDefault="00AA16F6" w14:paraId="5ED5982D" w14:textId="77777777">
      <w:pPr>
        <w:pStyle w:val="Default"/>
        <w:jc w:val="both"/>
        <w:rPr>
          <w:sz w:val="23"/>
          <w:szCs w:val="23"/>
        </w:rPr>
      </w:pPr>
    </w:p>
    <w:p w:rsidRPr="006641AD" w:rsidR="00AA16F6" w:rsidP="683CC3A6" w:rsidRDefault="00AA16F6" w14:paraId="433BD2A9" w14:textId="6AD9CDF7">
      <w:pPr>
        <w:pStyle w:val="Default"/>
        <w:spacing w:before="240"/>
        <w:jc w:val="both"/>
        <w:rPr>
          <w:sz w:val="22"/>
          <w:szCs w:val="22"/>
        </w:rPr>
      </w:pPr>
      <w:r w:rsidRPr="683CC3A6">
        <w:rPr>
          <w:sz w:val="22"/>
          <w:szCs w:val="22"/>
        </w:rPr>
        <w:t>In het kader van de uitvoering van zijn taken verbindt de o</w:t>
      </w:r>
      <w:r w:rsidRPr="683CC3A6" w:rsidR="43AF6AB5">
        <w:rPr>
          <w:sz w:val="22"/>
          <w:szCs w:val="22"/>
        </w:rPr>
        <w:t>pdrachtnemer</w:t>
      </w:r>
      <w:r w:rsidRPr="683CC3A6">
        <w:rPr>
          <w:sz w:val="22"/>
          <w:szCs w:val="22"/>
        </w:rPr>
        <w:t xml:space="preserve"> zich ertoe: </w:t>
      </w:r>
    </w:p>
    <w:p w:rsidRPr="006641AD" w:rsidR="00AA16F6" w:rsidP="683CC3A6" w:rsidRDefault="00AA16F6" w14:paraId="25188080" w14:textId="49942225">
      <w:pPr>
        <w:pStyle w:val="Default"/>
        <w:numPr>
          <w:ilvl w:val="0"/>
          <w:numId w:val="6"/>
        </w:numPr>
        <w:spacing w:before="240"/>
        <w:jc w:val="both"/>
        <w:rPr>
          <w:sz w:val="22"/>
          <w:szCs w:val="22"/>
        </w:rPr>
      </w:pPr>
      <w:r w:rsidRPr="683CC3A6">
        <w:rPr>
          <w:sz w:val="22"/>
          <w:szCs w:val="22"/>
        </w:rPr>
        <w:t>persoonsgegevens alleen te verwerken voor de enige finaliteit(en) die het voorwerp uitmaakt/uitmaken van de onderaanneming</w:t>
      </w:r>
      <w:r w:rsidRPr="683CC3A6" w:rsidR="4A160119">
        <w:rPr>
          <w:sz w:val="22"/>
          <w:szCs w:val="22"/>
        </w:rPr>
        <w:t xml:space="preserve"> (= werkzaamheden uitgevoerd door de hoofdaannemer);</w:t>
      </w:r>
      <w:r w:rsidRPr="683CC3A6">
        <w:rPr>
          <w:sz w:val="22"/>
          <w:szCs w:val="22"/>
        </w:rPr>
        <w:t xml:space="preserve"> </w:t>
      </w:r>
    </w:p>
    <w:p w:rsidRPr="006641AD" w:rsidR="00AA16F6" w:rsidP="683CC3A6" w:rsidRDefault="00AA16F6" w14:paraId="010444B2" w14:textId="77777777">
      <w:pPr>
        <w:pStyle w:val="Default"/>
        <w:numPr>
          <w:ilvl w:val="0"/>
          <w:numId w:val="6"/>
        </w:numPr>
        <w:spacing w:before="240"/>
        <w:jc w:val="both"/>
        <w:rPr>
          <w:sz w:val="22"/>
          <w:szCs w:val="22"/>
        </w:rPr>
      </w:pPr>
      <w:r w:rsidRPr="683CC3A6">
        <w:rPr>
          <w:sz w:val="22"/>
          <w:szCs w:val="22"/>
        </w:rPr>
        <w:t xml:space="preserve">passende technische en organisatorische maatregelen te nemen om persoonsgegevens en hun verwerking te beveiligen en om te vermijden dat een niet-geautoriseerde persoon toegang krijgt tot de gegevens en dat deze gegevens voor oneigenlijke doeleinden worden gebruikt; </w:t>
      </w:r>
    </w:p>
    <w:p w:rsidRPr="006641AD" w:rsidR="00AA16F6" w:rsidP="683CC3A6" w:rsidRDefault="00AA16F6" w14:paraId="2C00B1CF" w14:textId="7DA2B33B">
      <w:pPr>
        <w:pStyle w:val="Default"/>
        <w:numPr>
          <w:ilvl w:val="0"/>
          <w:numId w:val="6"/>
        </w:numPr>
        <w:spacing w:before="240"/>
        <w:jc w:val="both"/>
        <w:rPr>
          <w:color w:val="auto"/>
          <w:sz w:val="22"/>
          <w:szCs w:val="22"/>
        </w:rPr>
      </w:pPr>
      <w:r w:rsidRPr="683CC3A6">
        <w:rPr>
          <w:color w:val="auto"/>
          <w:sz w:val="22"/>
          <w:szCs w:val="22"/>
        </w:rPr>
        <w:t xml:space="preserve">persoonsgegevens uitsluitend te verwerken volgens gedocumenteerde instructies van de OVM. Behalve in uitzonderlijke gevallen worden de gedocumenteerde instructies beschouwd als overgedragen in het kader van de overeenkomst tussen de partijen en de onderaannemingsfiche; </w:t>
      </w:r>
    </w:p>
    <w:p w:rsidRPr="006641AD" w:rsidR="00AA16F6" w:rsidP="683CC3A6" w:rsidRDefault="00AA16F6" w14:paraId="3691787A" w14:textId="61BF3C12">
      <w:pPr>
        <w:pStyle w:val="Default"/>
        <w:numPr>
          <w:ilvl w:val="0"/>
          <w:numId w:val="6"/>
        </w:numPr>
        <w:spacing w:before="240"/>
        <w:jc w:val="both"/>
        <w:rPr>
          <w:sz w:val="22"/>
          <w:szCs w:val="22"/>
        </w:rPr>
      </w:pPr>
      <w:r w:rsidRPr="683CC3A6">
        <w:rPr>
          <w:sz w:val="22"/>
          <w:szCs w:val="22"/>
        </w:rPr>
        <w:t>zich te onthouden om te handelen op een manier die een overtreding van de regelgeving door de OVM zou vormen of tot gevolg hebben, en de verwerkingsverantwoordelijke onmiddellijk te informeren zodra de o</w:t>
      </w:r>
      <w:r w:rsidRPr="683CC3A6" w:rsidR="44339CD7">
        <w:rPr>
          <w:sz w:val="22"/>
          <w:szCs w:val="22"/>
        </w:rPr>
        <w:t>pdrachtnemer</w:t>
      </w:r>
      <w:r w:rsidRPr="683CC3A6">
        <w:rPr>
          <w:sz w:val="22"/>
          <w:szCs w:val="22"/>
        </w:rPr>
        <w:t xml:space="preserve"> van mening is dat een instructie wordt genomen die in overtreding is met de toepasselijke wetten en/of de AVG. Indien de o</w:t>
      </w:r>
      <w:r w:rsidRPr="683CC3A6" w:rsidR="4B56E76F">
        <w:rPr>
          <w:sz w:val="22"/>
          <w:szCs w:val="22"/>
        </w:rPr>
        <w:t>pdrachtnem</w:t>
      </w:r>
      <w:r w:rsidRPr="683CC3A6">
        <w:rPr>
          <w:sz w:val="22"/>
          <w:szCs w:val="22"/>
        </w:rPr>
        <w:t xml:space="preserve">er krachtens het recht van de Europese Unie of het recht van de lidstaat waaraan hij onderworpen is, verplicht is gegevens door te geven aan een derde land of een internationale organisatie, moet hij de OVM voor de verwerking op de hoogte brengen van deze juridische verplichting, tenzij het betrokken recht dit verbiedt om belangrijke redenen van algemeen belang; </w:t>
      </w:r>
    </w:p>
    <w:p w:rsidRPr="006641AD" w:rsidR="00AA16F6" w:rsidP="683CC3A6" w:rsidRDefault="00AA16F6" w14:paraId="3201C24B" w14:textId="2B14E84C">
      <w:pPr>
        <w:pStyle w:val="Default"/>
        <w:numPr>
          <w:ilvl w:val="0"/>
          <w:numId w:val="6"/>
        </w:numPr>
        <w:spacing w:before="240"/>
        <w:jc w:val="both"/>
        <w:rPr>
          <w:sz w:val="22"/>
          <w:szCs w:val="22"/>
        </w:rPr>
      </w:pPr>
      <w:r w:rsidRPr="683CC3A6">
        <w:rPr>
          <w:sz w:val="22"/>
          <w:szCs w:val="22"/>
        </w:rPr>
        <w:t>de vertrouwelijkheid van de persoonsgegevens die hij ontvangt te garanderen.  De o</w:t>
      </w:r>
      <w:r w:rsidRPr="683CC3A6" w:rsidR="60AEDDD1">
        <w:rPr>
          <w:sz w:val="22"/>
          <w:szCs w:val="22"/>
        </w:rPr>
        <w:t>pdrachtnemer</w:t>
      </w:r>
      <w:r w:rsidRPr="683CC3A6">
        <w:rPr>
          <w:sz w:val="22"/>
          <w:szCs w:val="22"/>
        </w:rPr>
        <w:t xml:space="preserve"> kan echter afwijken van deze vertrouwelijkheidsverplichting wanneer een wettelijk voorschrift of een rechterlijk bevel hem verplicht de gegevens mee te delen of wanneer de overdracht van gegevens gebeurt in opdracht van de OVM. Elke wettelijk verplichte communicatie van persoonsgegevens aan derden zal vooraf door de o</w:t>
      </w:r>
      <w:r w:rsidRPr="683CC3A6" w:rsidR="67157435">
        <w:rPr>
          <w:sz w:val="22"/>
          <w:szCs w:val="22"/>
        </w:rPr>
        <w:t>pd</w:t>
      </w:r>
      <w:r w:rsidRPr="683CC3A6">
        <w:rPr>
          <w:sz w:val="22"/>
          <w:szCs w:val="22"/>
        </w:rPr>
        <w:t>r</w:t>
      </w:r>
      <w:r w:rsidRPr="683CC3A6" w:rsidR="67157435">
        <w:rPr>
          <w:sz w:val="22"/>
          <w:szCs w:val="22"/>
        </w:rPr>
        <w:t>achtnemer</w:t>
      </w:r>
      <w:r w:rsidRPr="683CC3A6">
        <w:rPr>
          <w:sz w:val="22"/>
          <w:szCs w:val="22"/>
        </w:rPr>
        <w:t xml:space="preserve"> moeten worden gemeld aan de OVM. De vertrouwelijkheid zal na de overdracht of het vervallen van de overeenkomst blijven bestaan; </w:t>
      </w:r>
    </w:p>
    <w:p w:rsidRPr="006641AD" w:rsidR="00AA16F6" w:rsidP="683CC3A6" w:rsidRDefault="00AA16F6" w14:paraId="0A3C850B" w14:textId="77777777">
      <w:pPr>
        <w:pStyle w:val="Default"/>
        <w:numPr>
          <w:ilvl w:val="0"/>
          <w:numId w:val="6"/>
        </w:numPr>
        <w:spacing w:before="240"/>
        <w:jc w:val="both"/>
        <w:rPr>
          <w:sz w:val="22"/>
          <w:szCs w:val="22"/>
        </w:rPr>
      </w:pPr>
      <w:r w:rsidRPr="683CC3A6">
        <w:rPr>
          <w:sz w:val="22"/>
          <w:szCs w:val="22"/>
        </w:rPr>
        <w:t xml:space="preserve">ervoor te zorgen dat de personen die gemachtigd zijn om persoonsgegevens te verwerken krachtens deze overeenkomst: (i) zich ertoe verbinden de vertrouwelijkheid na te leven of aan een passende wettelijke vertrouwelijkheidsverplichting zijn onderworpen; en (ii) de nodige opleiding krijgen op het gebied van bescherming van persoonsgegevens; </w:t>
      </w:r>
    </w:p>
    <w:p w:rsidRPr="006641AD" w:rsidR="00AA16F6" w:rsidP="683CC3A6" w:rsidRDefault="00AA16F6" w14:paraId="3E800F5D" w14:textId="22F62EEA">
      <w:pPr>
        <w:pStyle w:val="Default"/>
        <w:numPr>
          <w:ilvl w:val="0"/>
          <w:numId w:val="6"/>
        </w:numPr>
        <w:spacing w:before="240"/>
        <w:jc w:val="both"/>
        <w:rPr>
          <w:sz w:val="22"/>
          <w:szCs w:val="22"/>
        </w:rPr>
      </w:pPr>
      <w:r w:rsidRPr="683CC3A6">
        <w:rPr>
          <w:sz w:val="22"/>
          <w:szCs w:val="22"/>
        </w:rPr>
        <w:t xml:space="preserve">te voldoen aan zijn verplichting om de OVM zoveel mogelijk te helpen en gevolg te geven aan de verzoeken betreffende de rechten van de betrokken personen; </w:t>
      </w:r>
    </w:p>
    <w:p w:rsidRPr="006641AD" w:rsidR="00AA16F6" w:rsidP="683CC3A6" w:rsidRDefault="00AA16F6" w14:paraId="01CB1B07" w14:textId="26BC7CDB">
      <w:pPr>
        <w:pStyle w:val="Default"/>
        <w:numPr>
          <w:ilvl w:val="0"/>
          <w:numId w:val="6"/>
        </w:numPr>
        <w:spacing w:before="240"/>
        <w:jc w:val="both"/>
        <w:rPr>
          <w:sz w:val="22"/>
          <w:szCs w:val="22"/>
        </w:rPr>
      </w:pPr>
      <w:r w:rsidRPr="683CC3A6">
        <w:rPr>
          <w:sz w:val="22"/>
          <w:szCs w:val="22"/>
        </w:rPr>
        <w:t xml:space="preserve">te voldoen aan zijn transparantie- en traceerbaarheidsverplichting door, in het bijzonder, een register van de verwerkingsactiviteiten bij te houden die namens de OVM worden verricht, waarin alle gegevens uit artikel 30 van de AVG worden opgenomen; </w:t>
      </w:r>
    </w:p>
    <w:p w:rsidRPr="006641AD" w:rsidR="00AA16F6" w:rsidP="683CC3A6" w:rsidRDefault="00AA16F6" w14:paraId="34E094D9" w14:textId="3DD2B5D4">
      <w:pPr>
        <w:pStyle w:val="Default"/>
        <w:numPr>
          <w:ilvl w:val="0"/>
          <w:numId w:val="6"/>
        </w:numPr>
        <w:spacing w:before="240"/>
        <w:jc w:val="both"/>
        <w:rPr>
          <w:sz w:val="22"/>
          <w:szCs w:val="22"/>
        </w:rPr>
      </w:pPr>
      <w:r w:rsidRPr="683CC3A6">
        <w:rPr>
          <w:sz w:val="22"/>
          <w:szCs w:val="22"/>
        </w:rPr>
        <w:t>rekening te houden met de principes van gegevensbescherming van bij het ontwerp (‘by design’) en standaard (‘by default’), met name door ervoor te zorgen dat de gegevens tot een minimum worden beperkt, zodat alleen gegevens worden verwerkt die noodzakelijk zijn voor elk specifiek doel van de verwerking</w:t>
      </w:r>
      <w:r w:rsidRPr="683CC3A6" w:rsidR="3A1EEC28">
        <w:rPr>
          <w:sz w:val="22"/>
          <w:szCs w:val="22"/>
        </w:rPr>
        <w:t>;</w:t>
      </w:r>
    </w:p>
    <w:p w:rsidR="2BDC051E" w:rsidP="683CC3A6" w:rsidRDefault="2BDC051E" w14:paraId="37AF7403" w14:textId="58EEB560">
      <w:pPr>
        <w:pStyle w:val="Default"/>
        <w:numPr>
          <w:ilvl w:val="0"/>
          <w:numId w:val="6"/>
        </w:numPr>
        <w:spacing w:before="240"/>
        <w:jc w:val="both"/>
        <w:rPr>
          <w:sz w:val="22"/>
          <w:szCs w:val="22"/>
        </w:rPr>
      </w:pPr>
      <w:r w:rsidRPr="683CC3A6">
        <w:rPr>
          <w:sz w:val="22"/>
          <w:szCs w:val="22"/>
        </w:rPr>
        <w:t>voldoende garanties te bieden voor de uitvoering van passende technische en organisatorische maatregelen.</w:t>
      </w:r>
    </w:p>
    <w:p w:rsidRPr="006641AD" w:rsidR="00AA16F6" w:rsidP="00AA16F6" w:rsidRDefault="00AA16F6" w14:paraId="26BB084C" w14:textId="77777777">
      <w:pPr>
        <w:autoSpaceDE w:val="0"/>
        <w:autoSpaceDN w:val="0"/>
        <w:adjustRightInd w:val="0"/>
        <w:spacing w:after="0" w:line="240" w:lineRule="auto"/>
        <w:rPr>
          <w:rFonts w:ascii="Calibri" w:hAnsi="Calibri" w:cs="Calibri"/>
          <w:color w:val="000000"/>
          <w:sz w:val="23"/>
          <w:szCs w:val="23"/>
        </w:rPr>
      </w:pPr>
    </w:p>
    <w:p w:rsidRPr="006641AD" w:rsidR="00AA16F6" w:rsidP="00AA16F6" w:rsidRDefault="00AA16F6" w14:paraId="703A1FAD" w14:textId="22260892">
      <w:pPr>
        <w:pStyle w:val="Lijstalinea"/>
        <w:numPr>
          <w:ilvl w:val="0"/>
          <w:numId w:val="1"/>
        </w:numPr>
        <w:autoSpaceDE w:val="0"/>
        <w:autoSpaceDN w:val="0"/>
        <w:adjustRightInd w:val="0"/>
        <w:spacing w:after="0" w:line="240" w:lineRule="auto"/>
        <w:jc w:val="both"/>
        <w:rPr>
          <w:rFonts w:ascii="Calibri" w:hAnsi="Calibri" w:cs="Calibri"/>
          <w:b/>
          <w:bCs/>
          <w:color w:val="000000"/>
          <w:sz w:val="23"/>
          <w:szCs w:val="23"/>
          <w:u w:val="single"/>
        </w:rPr>
      </w:pPr>
      <w:r w:rsidRPr="006641AD">
        <w:rPr>
          <w:rFonts w:ascii="Calibri" w:hAnsi="Calibri"/>
          <w:b/>
          <w:color w:val="000000"/>
          <w:sz w:val="23"/>
          <w:u w:val="single"/>
        </w:rPr>
        <w:t xml:space="preserve">MODALITEITEN VOOR HET GEBRUIK EN HET BEWAREN VAN DE GEGEVENS  </w:t>
      </w:r>
    </w:p>
    <w:p w:rsidRPr="006641AD" w:rsidR="00AA16F6" w:rsidP="00AA16F6" w:rsidRDefault="00AA16F6" w14:paraId="282395FE" w14:textId="77777777">
      <w:pPr>
        <w:pStyle w:val="Lijstalinea"/>
        <w:autoSpaceDE w:val="0"/>
        <w:autoSpaceDN w:val="0"/>
        <w:adjustRightInd w:val="0"/>
        <w:spacing w:after="0" w:line="240" w:lineRule="auto"/>
        <w:jc w:val="both"/>
        <w:rPr>
          <w:rFonts w:ascii="Calibri" w:hAnsi="Calibri" w:cs="Calibri"/>
          <w:b/>
          <w:bCs/>
          <w:color w:val="000000"/>
          <w:sz w:val="23"/>
          <w:szCs w:val="23"/>
          <w:u w:val="single"/>
        </w:rPr>
      </w:pPr>
    </w:p>
    <w:p w:rsidRPr="006641AD" w:rsidR="00AA16F6" w:rsidP="683CC3A6" w:rsidRDefault="00AA16F6" w14:paraId="00DE2869" w14:textId="722F0F60">
      <w:pPr>
        <w:autoSpaceDE w:val="0"/>
        <w:autoSpaceDN w:val="0"/>
        <w:adjustRightInd w:val="0"/>
        <w:spacing w:after="0" w:line="240" w:lineRule="auto"/>
        <w:jc w:val="both"/>
        <w:rPr>
          <w:rFonts w:ascii="Calibri" w:hAnsi="Calibri" w:cs="Calibri"/>
          <w:color w:val="000000"/>
        </w:rPr>
      </w:pPr>
      <w:r w:rsidRPr="683CC3A6">
        <w:t>De o</w:t>
      </w:r>
      <w:r w:rsidRPr="683CC3A6" w:rsidR="243EB2EF">
        <w:t>pdrachtnemer</w:t>
      </w:r>
      <w:r w:rsidRPr="683CC3A6">
        <w:t xml:space="preserve"> verbindt zich ertoe geen kopieën te maken van de gegevens die hem ter beschikking worden gesteld, behalve met het doel om een back-up te maken, indien dit tijdens de uitvoering van zijn opdracht noodzakelijk blijkt.</w:t>
      </w:r>
      <w:r w:rsidRPr="683CC3A6">
        <w:rPr>
          <w:rFonts w:ascii="Calibri" w:hAnsi="Calibri"/>
          <w:color w:val="000000" w:themeColor="text1"/>
        </w:rPr>
        <w:t xml:space="preserve"> </w:t>
      </w:r>
      <w:r w:rsidRPr="683CC3A6">
        <w:t>De o</w:t>
      </w:r>
      <w:r w:rsidRPr="683CC3A6" w:rsidR="4B8904B3">
        <w:t>pdrachtnem</w:t>
      </w:r>
      <w:r w:rsidRPr="683CC3A6">
        <w:t>er bewaart de gegevens niet langer dan nodig om de taken goed uit te voeren waarvoor ze hem ter beschikking zijn gesteld.</w:t>
      </w:r>
      <w:r w:rsidRPr="683CC3A6">
        <w:rPr>
          <w:rFonts w:ascii="Calibri" w:hAnsi="Calibri"/>
          <w:color w:val="000000" w:themeColor="text1"/>
        </w:rPr>
        <w:t xml:space="preserve"> Het is aan de OVM om de bewaartermijnen vast te stellen voor de persoonsgegevens die aan de o</w:t>
      </w:r>
      <w:r w:rsidRPr="683CC3A6" w:rsidR="279B87A4">
        <w:rPr>
          <w:rFonts w:ascii="Calibri" w:hAnsi="Calibri"/>
          <w:color w:val="000000" w:themeColor="text1"/>
        </w:rPr>
        <w:t>pdrachtnemer</w:t>
      </w:r>
      <w:r w:rsidRPr="683CC3A6">
        <w:rPr>
          <w:rFonts w:ascii="Calibri" w:hAnsi="Calibri"/>
          <w:color w:val="000000" w:themeColor="text1"/>
        </w:rPr>
        <w:t xml:space="preserve"> zijn toevertrouwd. </w:t>
      </w:r>
    </w:p>
    <w:p w:rsidRPr="006641AD" w:rsidR="00AA16F6" w:rsidP="683CC3A6" w:rsidRDefault="00AA16F6" w14:paraId="7C9F6756" w14:textId="77777777">
      <w:pPr>
        <w:autoSpaceDE w:val="0"/>
        <w:autoSpaceDN w:val="0"/>
        <w:adjustRightInd w:val="0"/>
        <w:spacing w:after="0" w:line="240" w:lineRule="auto"/>
        <w:jc w:val="both"/>
        <w:rPr>
          <w:rFonts w:ascii="Calibri" w:hAnsi="Calibri" w:cs="Calibri"/>
          <w:color w:val="000000"/>
        </w:rPr>
      </w:pPr>
    </w:p>
    <w:p w:rsidRPr="006641AD" w:rsidR="00AA16F6" w:rsidP="683CC3A6" w:rsidRDefault="00AA16F6" w14:paraId="65C6D0E4" w14:textId="147F2283">
      <w:pPr>
        <w:autoSpaceDE w:val="0"/>
        <w:autoSpaceDN w:val="0"/>
        <w:adjustRightInd w:val="0"/>
        <w:spacing w:after="0" w:line="240" w:lineRule="auto"/>
        <w:jc w:val="both"/>
        <w:rPr>
          <w:rFonts w:ascii="Calibri" w:hAnsi="Calibri" w:cs="Calibri"/>
          <w:color w:val="000000"/>
        </w:rPr>
      </w:pPr>
      <w:r w:rsidRPr="683CC3A6">
        <w:t>Op het einde van de contractuele relatie, en als de gegevens niet langer nodig zijn, verbindt de onderaannemer zich ertoe om, naar keuze van de OVM:</w:t>
      </w:r>
      <w:r w:rsidRPr="683CC3A6">
        <w:rPr>
          <w:rFonts w:ascii="Calibri" w:hAnsi="Calibri"/>
          <w:color w:val="000000" w:themeColor="text1"/>
        </w:rPr>
        <w:t xml:space="preserve"> </w:t>
      </w:r>
    </w:p>
    <w:p w:rsidRPr="006641AD" w:rsidR="00AA16F6" w:rsidP="683CC3A6" w:rsidRDefault="00AA16F6" w14:paraId="2C86FBDE" w14:textId="77777777">
      <w:pPr>
        <w:autoSpaceDE w:val="0"/>
        <w:autoSpaceDN w:val="0"/>
        <w:adjustRightInd w:val="0"/>
        <w:spacing w:after="0" w:line="240" w:lineRule="auto"/>
        <w:jc w:val="both"/>
        <w:rPr>
          <w:rFonts w:ascii="Calibri" w:hAnsi="Calibri" w:cs="Calibri"/>
          <w:color w:val="000000"/>
        </w:rPr>
      </w:pPr>
    </w:p>
    <w:p w:rsidRPr="006641AD" w:rsidR="00AA16F6" w:rsidP="683CC3A6" w:rsidRDefault="00AA16F6" w14:paraId="275ABEEA" w14:textId="77777777">
      <w:pPr>
        <w:pStyle w:val="Lijstalinea"/>
        <w:numPr>
          <w:ilvl w:val="0"/>
          <w:numId w:val="13"/>
        </w:numPr>
        <w:autoSpaceDE w:val="0"/>
        <w:autoSpaceDN w:val="0"/>
        <w:adjustRightInd w:val="0"/>
        <w:spacing w:after="0" w:line="240" w:lineRule="auto"/>
        <w:jc w:val="both"/>
        <w:rPr>
          <w:rFonts w:ascii="Calibri" w:hAnsi="Calibri" w:cs="Calibri"/>
          <w:color w:val="000000"/>
        </w:rPr>
      </w:pPr>
      <w:r w:rsidRPr="683CC3A6">
        <w:rPr>
          <w:rFonts w:ascii="Calibri" w:hAnsi="Calibri"/>
          <w:color w:val="000000" w:themeColor="text1"/>
        </w:rPr>
        <w:t xml:space="preserve">alle persoonsgegevens te vernietigen; of </w:t>
      </w:r>
    </w:p>
    <w:p w:rsidRPr="006641AD" w:rsidR="00AA16F6" w:rsidP="00AA16F6" w:rsidRDefault="00AA16F6" w14:paraId="44A3D487" w14:textId="15A561D9">
      <w:pPr>
        <w:pStyle w:val="Lijstalinea"/>
        <w:numPr>
          <w:ilvl w:val="0"/>
          <w:numId w:val="13"/>
        </w:numPr>
        <w:autoSpaceDE w:val="0"/>
        <w:autoSpaceDN w:val="0"/>
        <w:adjustRightInd w:val="0"/>
        <w:spacing w:after="0" w:line="240" w:lineRule="auto"/>
        <w:jc w:val="both"/>
        <w:rPr>
          <w:rFonts w:ascii="Calibri" w:hAnsi="Calibri" w:cs="Calibri"/>
          <w:color w:val="000000"/>
          <w:sz w:val="23"/>
          <w:szCs w:val="23"/>
        </w:rPr>
      </w:pPr>
      <w:r w:rsidRPr="683CC3A6">
        <w:t>alle persoonsgegevens terug te bezorgen aan de OVM.</w:t>
      </w:r>
      <w:r w:rsidRPr="683CC3A6">
        <w:rPr>
          <w:rFonts w:ascii="Calibri" w:hAnsi="Calibri"/>
          <w:color w:val="000000" w:themeColor="text1"/>
          <w:sz w:val="23"/>
          <w:szCs w:val="23"/>
        </w:rPr>
        <w:t xml:space="preserve"> </w:t>
      </w:r>
    </w:p>
    <w:p w:rsidRPr="006641AD" w:rsidR="00AA16F6" w:rsidP="00AA16F6" w:rsidRDefault="00AA16F6" w14:paraId="5C1D1117" w14:textId="77777777">
      <w:pPr>
        <w:autoSpaceDE w:val="0"/>
        <w:autoSpaceDN w:val="0"/>
        <w:adjustRightInd w:val="0"/>
        <w:spacing w:after="0" w:line="240" w:lineRule="auto"/>
        <w:jc w:val="both"/>
        <w:rPr>
          <w:rFonts w:ascii="Calibri" w:hAnsi="Calibri" w:cs="Calibri"/>
          <w:color w:val="000000"/>
          <w:sz w:val="23"/>
          <w:szCs w:val="23"/>
        </w:rPr>
      </w:pPr>
    </w:p>
    <w:p w:rsidRPr="00422E90" w:rsidR="683CC3A6" w:rsidP="683CC3A6" w:rsidRDefault="683CC3A6" w14:paraId="2416E1C1" w14:textId="6C6226A1">
      <w:pPr>
        <w:spacing w:after="0" w:line="240" w:lineRule="auto"/>
        <w:jc w:val="both"/>
        <w:rPr>
          <w:rFonts w:ascii="Calibri" w:hAnsi="Calibri" w:cs="Calibri"/>
          <w:b/>
          <w:bCs/>
          <w:color w:val="000000" w:themeColor="text1"/>
          <w:sz w:val="23"/>
          <w:szCs w:val="23"/>
        </w:rPr>
      </w:pPr>
    </w:p>
    <w:p w:rsidRPr="00422E90" w:rsidR="001B137B" w:rsidP="00C57932" w:rsidRDefault="001B137B" w14:paraId="15D5642C" w14:textId="3CFEC05E">
      <w:pPr>
        <w:pStyle w:val="Lijstalinea"/>
        <w:numPr>
          <w:ilvl w:val="0"/>
          <w:numId w:val="1"/>
        </w:numPr>
        <w:spacing w:after="0" w:line="240" w:lineRule="auto"/>
        <w:jc w:val="both"/>
        <w:rPr>
          <w:rFonts w:ascii="Calibri" w:hAnsi="Calibri" w:eastAsia="Calibri" w:cs="Calibri"/>
          <w:b/>
          <w:bCs/>
          <w:color w:val="000000" w:themeColor="text1"/>
        </w:rPr>
      </w:pPr>
      <w:r w:rsidRPr="00422E90">
        <w:rPr>
          <w:b/>
          <w:bCs/>
          <w:u w:val="single"/>
        </w:rPr>
        <w:t>R</w:t>
      </w:r>
      <w:r w:rsidRPr="00422E90" w:rsidR="00422E90">
        <w:rPr>
          <w:b/>
          <w:bCs/>
          <w:u w:val="single"/>
        </w:rPr>
        <w:t>ECHT OP INFORMATIE VAN DE BETROKKENEN</w:t>
      </w:r>
    </w:p>
    <w:p w:rsidRPr="00422E90" w:rsidR="001B137B" w:rsidP="001B137B" w:rsidRDefault="001B137B" w14:paraId="36709EC9" w14:textId="77777777">
      <w:pPr>
        <w:spacing w:after="0" w:line="240" w:lineRule="auto"/>
        <w:jc w:val="both"/>
        <w:rPr>
          <w:rFonts w:ascii="Century Gothic" w:hAnsi="Century Gothic" w:eastAsia="Century Gothic" w:cs="Century Gothic"/>
          <w:color w:val="000000" w:themeColor="text1"/>
        </w:rPr>
      </w:pPr>
    </w:p>
    <w:p w:rsidR="00422E90" w:rsidP="00422E90" w:rsidRDefault="00422E90" w14:paraId="06815296" w14:textId="77777777">
      <w:pPr>
        <w:spacing w:after="0" w:line="240" w:lineRule="auto"/>
        <w:jc w:val="both"/>
      </w:pPr>
      <w:r w:rsidRPr="00422E90">
        <w:t>Het is de verantwoordelijkheid van de aanbestedende overheid om, in overeenstemming met de artikelen 13 en 14 van de AVG, informatie te verstrekken aan de personen op wie de verwerkingsverrichtingen betrekking hebben:</w:t>
      </w:r>
    </w:p>
    <w:p w:rsidR="00422E90" w:rsidP="00422E90" w:rsidRDefault="00422E90" w14:paraId="742D8614" w14:textId="77777777">
      <w:pPr>
        <w:spacing w:after="0" w:line="240" w:lineRule="auto"/>
        <w:jc w:val="both"/>
      </w:pPr>
    </w:p>
    <w:p w:rsidR="001B137B" w:rsidP="00422E90" w:rsidRDefault="00422E90" w14:paraId="208C2582" w14:textId="108C1EED">
      <w:pPr>
        <w:pStyle w:val="Lijstalinea"/>
        <w:numPr>
          <w:ilvl w:val="0"/>
          <w:numId w:val="16"/>
        </w:numPr>
        <w:spacing w:after="0" w:line="240" w:lineRule="auto"/>
        <w:jc w:val="both"/>
      </w:pPr>
      <w:r w:rsidRPr="00422E90">
        <w:t>op het moment dat de gegevens bij de betrokkenen worden verzameld</w:t>
      </w:r>
      <w:r w:rsidRPr="00422E90" w:rsidR="001B137B">
        <w:t>;</w:t>
      </w:r>
    </w:p>
    <w:p w:rsidRPr="00422E90" w:rsidR="00422E90" w:rsidP="00422E90" w:rsidRDefault="00422E90" w14:paraId="3B98D0BB" w14:textId="7FF4E902">
      <w:pPr>
        <w:pStyle w:val="Lijstalinea"/>
        <w:numPr>
          <w:ilvl w:val="0"/>
          <w:numId w:val="16"/>
        </w:numPr>
        <w:spacing w:after="0" w:line="240" w:lineRule="auto"/>
        <w:jc w:val="both"/>
      </w:pPr>
      <w:r w:rsidRPr="00422E90">
        <w:t>binnen een redelijke termijn en niet langer dan een maand na het verkrijgen van de persoonsgegevens, wanneer de gegevens niet bij de betrokkenen zijn verzameld.</w:t>
      </w:r>
    </w:p>
    <w:p w:rsidRPr="00B813D5" w:rsidR="001B137B" w:rsidP="001B137B" w:rsidRDefault="001B137B" w14:paraId="74ACB5E6" w14:textId="77777777">
      <w:pPr>
        <w:pStyle w:val="Lijstalinea"/>
        <w:spacing w:after="0" w:line="240" w:lineRule="auto"/>
        <w:jc w:val="both"/>
        <w:rPr>
          <w:b/>
          <w:bCs/>
          <w:highlight w:val="yellow"/>
          <w:u w:val="single"/>
        </w:rPr>
      </w:pPr>
    </w:p>
    <w:p w:rsidRPr="00B813D5" w:rsidR="001B137B" w:rsidP="001B137B" w:rsidRDefault="001B137B" w14:paraId="4867E0A8" w14:textId="77777777">
      <w:pPr>
        <w:spacing w:after="0" w:line="240" w:lineRule="auto"/>
        <w:jc w:val="both"/>
        <w:rPr>
          <w:b/>
          <w:bCs/>
          <w:highlight w:val="yellow"/>
          <w:u w:val="single"/>
        </w:rPr>
      </w:pPr>
    </w:p>
    <w:p w:rsidRPr="00B813D5" w:rsidR="001B137B" w:rsidP="001B137B" w:rsidRDefault="001B137B" w14:paraId="6586E45B" w14:textId="77777777">
      <w:pPr>
        <w:spacing w:after="0" w:line="240" w:lineRule="auto"/>
        <w:jc w:val="both"/>
        <w:rPr>
          <w:b/>
          <w:bCs/>
          <w:highlight w:val="yellow"/>
          <w:u w:val="single"/>
        </w:rPr>
      </w:pPr>
    </w:p>
    <w:p w:rsidRPr="00FA642C" w:rsidR="00757B50" w:rsidP="00757B50" w:rsidRDefault="00FA642C" w14:paraId="34D1764E" w14:textId="060B254C">
      <w:pPr>
        <w:pStyle w:val="Lijstalinea"/>
        <w:numPr>
          <w:ilvl w:val="0"/>
          <w:numId w:val="1"/>
        </w:numPr>
        <w:spacing w:after="0" w:line="240" w:lineRule="auto"/>
        <w:jc w:val="both"/>
        <w:rPr>
          <w:b/>
          <w:bCs/>
          <w:u w:val="single"/>
        </w:rPr>
      </w:pPr>
      <w:r w:rsidRPr="00FA642C">
        <w:rPr>
          <w:b/>
          <w:bCs/>
          <w:u w:val="single"/>
        </w:rPr>
        <w:t>LOT VAN DE GEGEVENS</w:t>
      </w:r>
    </w:p>
    <w:p w:rsidRPr="00757B50" w:rsidR="00757B50" w:rsidP="00757B50" w:rsidRDefault="00757B50" w14:paraId="62B46A92" w14:textId="77777777">
      <w:pPr>
        <w:spacing w:after="0" w:line="240" w:lineRule="auto"/>
        <w:jc w:val="both"/>
        <w:rPr>
          <w:rFonts w:ascii="Century Gothic" w:hAnsi="Century Gothic" w:eastAsia="Century Gothic" w:cs="Century Gothic"/>
          <w:color w:val="000000" w:themeColor="text1"/>
          <w:highlight w:val="yellow"/>
        </w:rPr>
      </w:pPr>
    </w:p>
    <w:p w:rsidRPr="00FA642C" w:rsidR="00757B50" w:rsidP="00757B50" w:rsidRDefault="00FA642C" w14:paraId="3E6953E2" w14:textId="23396C39">
      <w:pPr>
        <w:spacing w:after="0" w:line="240" w:lineRule="auto"/>
        <w:jc w:val="both"/>
        <w:rPr>
          <w:rFonts w:ascii="Calibri" w:hAnsi="Calibri"/>
          <w:color w:val="000000" w:themeColor="text1"/>
          <w:highlight w:val="yellow"/>
        </w:rPr>
      </w:pPr>
      <w:r w:rsidRPr="00FA642C">
        <w:rPr>
          <w:rFonts w:ascii="Calibri" w:hAnsi="Calibri"/>
          <w:color w:val="000000" w:themeColor="text1"/>
        </w:rPr>
        <w:t xml:space="preserve">Aan het einde van deze opdracht (om welke reden dan ook), d.w.z. bij de definitieve oplevering van de werken, verbindt de opdrachtnemer zich ertoe alle persoonsgegevens en kopieën daarvan te </w:t>
      </w:r>
      <w:r>
        <w:rPr>
          <w:rFonts w:ascii="Calibri" w:hAnsi="Calibri"/>
          <w:color w:val="000000" w:themeColor="text1"/>
        </w:rPr>
        <w:t>vernietigen.</w:t>
      </w:r>
    </w:p>
    <w:p w:rsidRPr="00FA642C" w:rsidR="00757B50" w:rsidP="00757B50" w:rsidRDefault="00757B50" w14:paraId="69C3CDB4" w14:textId="77777777">
      <w:pPr>
        <w:spacing w:after="0" w:line="240" w:lineRule="auto"/>
        <w:jc w:val="both"/>
        <w:rPr>
          <w:rFonts w:ascii="Calibri" w:hAnsi="Calibri"/>
          <w:color w:val="000000" w:themeColor="text1"/>
          <w:highlight w:val="yellow"/>
        </w:rPr>
      </w:pPr>
    </w:p>
    <w:p w:rsidRPr="00B813D5" w:rsidR="00757B50" w:rsidP="00757B50" w:rsidRDefault="00FA642C" w14:paraId="17B772F8" w14:textId="60034646">
      <w:pPr>
        <w:spacing w:after="0" w:line="240" w:lineRule="auto"/>
        <w:jc w:val="both"/>
        <w:rPr>
          <w:rFonts w:ascii="Calibri" w:hAnsi="Calibri"/>
          <w:color w:val="000000" w:themeColor="text1"/>
          <w:highlight w:val="yellow"/>
        </w:rPr>
      </w:pPr>
      <w:r w:rsidRPr="00FA642C">
        <w:rPr>
          <w:rFonts w:ascii="Calibri" w:hAnsi="Calibri"/>
          <w:color w:val="000000" w:themeColor="text1"/>
        </w:rPr>
        <w:t xml:space="preserve">Dit is het geval tenzij de EU-wetgeving of de Belgische wetgeving het bewaren van persoonsgegevens vereist. De teruggave moet gepaard gaan met de vernietiging van alle bestaande kopieën in de informatiesystemen van de opdrachtnemer. </w:t>
      </w:r>
      <w:r w:rsidRPr="00B813D5">
        <w:rPr>
          <w:rFonts w:ascii="Calibri" w:hAnsi="Calibri"/>
          <w:color w:val="000000" w:themeColor="text1"/>
        </w:rPr>
        <w:t>Na vernietiging moet de opdrachtnemer de vernietiging schriftelijk rechtvaardigen.</w:t>
      </w:r>
    </w:p>
    <w:p w:rsidRPr="00B813D5" w:rsidR="00757B50" w:rsidP="00757B50" w:rsidRDefault="00757B50" w14:paraId="73C2623E" w14:textId="77777777">
      <w:pPr>
        <w:spacing w:after="0" w:line="240" w:lineRule="auto"/>
        <w:jc w:val="both"/>
        <w:rPr>
          <w:rFonts w:ascii="Calibri" w:hAnsi="Calibri"/>
          <w:color w:val="000000" w:themeColor="text1"/>
          <w:highlight w:val="yellow"/>
        </w:rPr>
      </w:pPr>
    </w:p>
    <w:p w:rsidRPr="00FA642C" w:rsidR="00757B50" w:rsidP="00757B50" w:rsidRDefault="00FA642C" w14:paraId="033FCFAD" w14:textId="555DCC0A">
      <w:pPr>
        <w:spacing w:after="0" w:line="240" w:lineRule="auto"/>
        <w:jc w:val="both"/>
        <w:rPr>
          <w:rFonts w:ascii="Calibri" w:hAnsi="Calibri"/>
          <w:color w:val="000000" w:themeColor="text1"/>
        </w:rPr>
      </w:pPr>
      <w:r w:rsidRPr="00FA642C">
        <w:rPr>
          <w:rFonts w:ascii="Calibri" w:hAnsi="Calibri"/>
          <w:color w:val="000000" w:themeColor="text1"/>
        </w:rPr>
        <w:t>Voor alle interventies na de definitieve oplevering (tijdens de garantieperiode van tien jaar) verbindt de opdrachtnemer zich ertoe dezelfde voorwaarden na te leven</w:t>
      </w:r>
      <w:r>
        <w:rPr>
          <w:rFonts w:ascii="Calibri" w:hAnsi="Calibri"/>
          <w:color w:val="000000" w:themeColor="text1"/>
        </w:rPr>
        <w:t>.</w:t>
      </w:r>
    </w:p>
    <w:p w:rsidRPr="00FA642C" w:rsidR="00757B50" w:rsidP="00757B50" w:rsidRDefault="00757B50" w14:paraId="04E2C845" w14:textId="77777777">
      <w:pPr>
        <w:pStyle w:val="Lijstalinea"/>
        <w:rPr>
          <w:rFonts w:ascii="Calibri" w:hAnsi="Calibri"/>
          <w:color w:val="000000" w:themeColor="text1"/>
        </w:rPr>
      </w:pPr>
    </w:p>
    <w:p w:rsidRPr="00FA642C" w:rsidR="00757B50" w:rsidP="00757B50" w:rsidRDefault="00757B50" w14:paraId="5B261F7C" w14:textId="77777777">
      <w:pPr>
        <w:rPr>
          <w:b/>
          <w:bCs/>
          <w:u w:val="single"/>
        </w:rPr>
      </w:pPr>
    </w:p>
    <w:p w:rsidRPr="006641AD" w:rsidR="00D275CB" w:rsidP="00D275CB" w:rsidRDefault="5E37EFA9" w14:paraId="7B8C3C34" w14:textId="78A006D0">
      <w:pPr>
        <w:pStyle w:val="Lijstalinea"/>
        <w:numPr>
          <w:ilvl w:val="0"/>
          <w:numId w:val="1"/>
        </w:numPr>
        <w:rPr>
          <w:b/>
          <w:bCs/>
          <w:u w:val="single"/>
        </w:rPr>
      </w:pPr>
      <w:r w:rsidRPr="683CC3A6">
        <w:rPr>
          <w:b/>
          <w:bCs/>
          <w:u w:val="single"/>
        </w:rPr>
        <w:t>OPDRACHTNEMER EN ZIJN/HU</w:t>
      </w:r>
      <w:r w:rsidR="00422E90">
        <w:rPr>
          <w:b/>
          <w:bCs/>
          <w:u w:val="single"/>
        </w:rPr>
        <w:t>N</w:t>
      </w:r>
      <w:r w:rsidRPr="683CC3A6">
        <w:rPr>
          <w:b/>
          <w:bCs/>
          <w:u w:val="single"/>
        </w:rPr>
        <w:t xml:space="preserve"> </w:t>
      </w:r>
      <w:r w:rsidRPr="683CC3A6" w:rsidR="00D275CB">
        <w:rPr>
          <w:b/>
          <w:bCs/>
          <w:u w:val="single"/>
        </w:rPr>
        <w:t>ONDERAANNEMER</w:t>
      </w:r>
      <w:r w:rsidRPr="683CC3A6" w:rsidR="0BB2A9D9">
        <w:rPr>
          <w:b/>
          <w:bCs/>
          <w:u w:val="single"/>
        </w:rPr>
        <w:t>(S)</w:t>
      </w:r>
    </w:p>
    <w:p w:rsidRPr="006641AD" w:rsidR="00D275CB" w:rsidP="683CC3A6" w:rsidRDefault="00D275CB" w14:paraId="55F91BF3" w14:textId="0BBBC8DC">
      <w:pPr>
        <w:rPr>
          <w:color w:val="FF0000"/>
        </w:rPr>
      </w:pPr>
      <w:r w:rsidRPr="683CC3A6">
        <w:t xml:space="preserve">De OVM machtigt de opdrachtnemende onderneming </w:t>
      </w:r>
      <w:r w:rsidRPr="683CC3A6" w:rsidR="5EBC21CB">
        <w:t xml:space="preserve">(= de opdrachtnemer) </w:t>
      </w:r>
      <w:r w:rsidRPr="683CC3A6">
        <w:t xml:space="preserve">uitdrukkelijk om een beroep te doen op onderaannemers en secundaire onderaannemers. De identificatiegegevens zullen worden doorgegeven overeenkomstig artikel 12/1 van de MT. </w:t>
      </w:r>
    </w:p>
    <w:p w:rsidRPr="006641AD" w:rsidR="00AA16F6" w:rsidP="683CC3A6" w:rsidRDefault="00D275CB" w14:paraId="18B21001" w14:textId="0C33AF69">
      <w:pPr>
        <w:pStyle w:val="Default"/>
        <w:jc w:val="both"/>
        <w:rPr>
          <w:sz w:val="22"/>
          <w:szCs w:val="22"/>
        </w:rPr>
      </w:pPr>
      <w:r w:rsidRPr="683CC3A6">
        <w:rPr>
          <w:sz w:val="22"/>
          <w:szCs w:val="22"/>
        </w:rPr>
        <w:t>De opdrachtnemer zal het nodige doen om met de onderaannemer en eventuele secundaire onderaannemers een schriftelijke overeenkomst af te sluiten die dezelfde verplichtingen bevat als deze die voor hemzelf gelden. Deze laatste zal er ook voor zorgen dat de onderaannemer en/of secundaire onderaannemer dezelfde voldoende garanties biedt (bieden) betreffende de uitvoering van passende technische en organisatorische maatregelen. </w:t>
      </w:r>
    </w:p>
    <w:p w:rsidR="683CC3A6" w:rsidP="683CC3A6" w:rsidRDefault="683CC3A6" w14:paraId="6EE8ED03" w14:textId="65287BBD">
      <w:pPr>
        <w:pStyle w:val="Default"/>
        <w:jc w:val="both"/>
        <w:rPr>
          <w:sz w:val="22"/>
          <w:szCs w:val="22"/>
        </w:rPr>
      </w:pPr>
    </w:p>
    <w:p w:rsidRPr="006641AD" w:rsidR="00D275CB" w:rsidP="00D275CB" w:rsidRDefault="00D275CB" w14:paraId="35DCFB21" w14:textId="77777777">
      <w:pPr>
        <w:pStyle w:val="Default"/>
        <w:jc w:val="both"/>
        <w:rPr>
          <w:sz w:val="23"/>
          <w:szCs w:val="23"/>
        </w:rPr>
      </w:pPr>
    </w:p>
    <w:p w:rsidRPr="006641AD" w:rsidR="00AA16F6" w:rsidP="00AA16F6" w:rsidRDefault="00AA16F6" w14:paraId="3CED536F" w14:textId="70B576A2">
      <w:pPr>
        <w:pStyle w:val="Lijstalinea"/>
        <w:numPr>
          <w:ilvl w:val="0"/>
          <w:numId w:val="1"/>
        </w:numPr>
        <w:autoSpaceDE w:val="0"/>
        <w:autoSpaceDN w:val="0"/>
        <w:adjustRightInd w:val="0"/>
        <w:spacing w:after="0" w:line="240" w:lineRule="auto"/>
        <w:jc w:val="both"/>
        <w:rPr>
          <w:rFonts w:ascii="Calibri" w:hAnsi="Calibri" w:cs="Calibri"/>
          <w:b/>
          <w:bCs/>
          <w:color w:val="000000"/>
          <w:sz w:val="23"/>
          <w:szCs w:val="23"/>
          <w:u w:val="single"/>
        </w:rPr>
      </w:pPr>
      <w:r w:rsidRPr="006641AD">
        <w:rPr>
          <w:rFonts w:ascii="Calibri" w:hAnsi="Calibri"/>
          <w:b/>
          <w:color w:val="000000"/>
          <w:sz w:val="23"/>
          <w:u w:val="single"/>
        </w:rPr>
        <w:t xml:space="preserve">CONTROLE EN AUDIT </w:t>
      </w:r>
    </w:p>
    <w:p w:rsidRPr="006641AD" w:rsidR="00AA16F6" w:rsidP="00AA16F6" w:rsidRDefault="00AA16F6" w14:paraId="205ED245" w14:textId="77777777">
      <w:pPr>
        <w:pStyle w:val="Lijstalinea"/>
        <w:autoSpaceDE w:val="0"/>
        <w:autoSpaceDN w:val="0"/>
        <w:adjustRightInd w:val="0"/>
        <w:spacing w:after="0" w:line="240" w:lineRule="auto"/>
        <w:jc w:val="both"/>
        <w:rPr>
          <w:rFonts w:ascii="Calibri" w:hAnsi="Calibri" w:cs="Calibri"/>
          <w:color w:val="000000"/>
          <w:sz w:val="23"/>
          <w:szCs w:val="23"/>
        </w:rPr>
      </w:pPr>
    </w:p>
    <w:p w:rsidRPr="006641AD" w:rsidR="00AA16F6" w:rsidP="683CC3A6" w:rsidRDefault="00AA16F6" w14:paraId="77A6A602" w14:textId="12C2C774">
      <w:pPr>
        <w:autoSpaceDE w:val="0"/>
        <w:autoSpaceDN w:val="0"/>
        <w:adjustRightInd w:val="0"/>
        <w:spacing w:after="0" w:line="240" w:lineRule="auto"/>
        <w:jc w:val="both"/>
        <w:rPr>
          <w:rFonts w:ascii="Calibri" w:hAnsi="Calibri" w:cs="Calibri"/>
          <w:color w:val="000000"/>
        </w:rPr>
      </w:pPr>
      <w:r w:rsidRPr="683CC3A6">
        <w:t>Teneinde de OVM in staat te stellen zich aan de toepasselijke wetten in België inzake gegevensbescherming (met name de wet van 30 juli 2018 betreffende de bescherming van natuurlijke personen met betrekking tot de verwerking van persoonsgegevens) en aan de AVG te houden, verbindt de o</w:t>
      </w:r>
      <w:r w:rsidRPr="683CC3A6" w:rsidR="16FA7099">
        <w:t>pdrachtnemer</w:t>
      </w:r>
      <w:r w:rsidRPr="683CC3A6">
        <w:t xml:space="preserve"> zich ertoe om de OVM alle nodige informatie ter beschikking te stellen die het mogelijk maakt om de naleving van de verplichtingen die hem toekomen aan te tonen.</w:t>
      </w:r>
      <w:r w:rsidRPr="683CC3A6">
        <w:rPr>
          <w:rFonts w:ascii="Calibri" w:hAnsi="Calibri"/>
          <w:color w:val="000000" w:themeColor="text1"/>
        </w:rPr>
        <w:t xml:space="preserve"> </w:t>
      </w:r>
      <w:r w:rsidRPr="683CC3A6">
        <w:t>De kosten van de audit zullen ten laste zijn van de OVM.</w:t>
      </w:r>
      <w:r w:rsidRPr="683CC3A6">
        <w:rPr>
          <w:rFonts w:ascii="Calibri" w:hAnsi="Calibri"/>
          <w:color w:val="000000" w:themeColor="text1"/>
        </w:rPr>
        <w:t xml:space="preserve"> </w:t>
      </w:r>
    </w:p>
    <w:p w:rsidRPr="006641AD" w:rsidR="00AA16F6" w:rsidP="683CC3A6" w:rsidRDefault="00AA16F6" w14:paraId="174A5F26" w14:textId="77777777">
      <w:pPr>
        <w:jc w:val="both"/>
        <w:rPr>
          <w:rFonts w:ascii="Calibri" w:hAnsi="Calibri" w:cs="Calibri"/>
          <w:color w:val="000000"/>
        </w:rPr>
      </w:pPr>
    </w:p>
    <w:p w:rsidRPr="006641AD" w:rsidR="00AA16F6" w:rsidP="683CC3A6" w:rsidRDefault="00AA16F6" w14:paraId="64EB7FF7" w14:textId="7054CE32">
      <w:pPr>
        <w:jc w:val="both"/>
      </w:pPr>
      <w:r w:rsidRPr="683CC3A6">
        <w:t>Indien de audit tekortkomingen van de o</w:t>
      </w:r>
      <w:r w:rsidRPr="683CC3A6" w:rsidR="2E1AE45C">
        <w:t>pdrachtnemer</w:t>
      </w:r>
      <w:r w:rsidRPr="683CC3A6">
        <w:t xml:space="preserve"> aan het licht brengt, zou deze, bij wijze van uitzondering op wat voorafgaat, de kosten van de audit aan de OVM vergoeden, onverminderd de schadevergoeding die door de OVM zou kunnen worden geëist.</w:t>
      </w:r>
    </w:p>
    <w:p w:rsidR="683CC3A6" w:rsidP="683CC3A6" w:rsidRDefault="683CC3A6" w14:paraId="01E273F0" w14:textId="52CD355A">
      <w:pPr>
        <w:jc w:val="both"/>
      </w:pPr>
    </w:p>
    <w:p w:rsidRPr="006641AD" w:rsidR="00AA16F6" w:rsidP="00AA16F6" w:rsidRDefault="00AA16F6" w14:paraId="2EE4B310" w14:textId="665ED4E0">
      <w:pPr>
        <w:pStyle w:val="Lijstalinea"/>
        <w:numPr>
          <w:ilvl w:val="0"/>
          <w:numId w:val="1"/>
        </w:numPr>
        <w:jc w:val="both"/>
        <w:rPr>
          <w:b/>
          <w:bCs/>
        </w:rPr>
      </w:pPr>
      <w:r w:rsidRPr="006641AD">
        <w:rPr>
          <w:rFonts w:ascii="Calibri" w:hAnsi="Calibri"/>
          <w:b/>
          <w:color w:val="000000"/>
          <w:sz w:val="23"/>
          <w:u w:val="single"/>
        </w:rPr>
        <w:t>SAMENWERKING EN BIJSTAND</w:t>
      </w:r>
    </w:p>
    <w:p w:rsidRPr="006641AD" w:rsidR="00AA16F6" w:rsidP="00AA16F6" w:rsidRDefault="00AA16F6" w14:paraId="612316C3" w14:textId="511B7E4A">
      <w:pPr>
        <w:jc w:val="both"/>
      </w:pPr>
      <w:r>
        <w:t>In het kader van zijn bijstands-, meld- en raadgevingsplicht verbindt de o</w:t>
      </w:r>
      <w:r w:rsidR="06ACC77E">
        <w:t xml:space="preserve">pdrachtnemer </w:t>
      </w:r>
      <w:r>
        <w:t>zich ertoe om samen te werken met de OVM om haar in staat te stellen de naleving van de AVG te garanderen.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423"/>
        <w:gridCol w:w="4423"/>
      </w:tblGrid>
      <w:tr w:rsidRPr="006641AD" w:rsidR="00AA16F6" w:rsidTr="683CC3A6" w14:paraId="51A0EE93" w14:textId="77777777">
        <w:trPr>
          <w:trHeight w:val="705"/>
        </w:trPr>
        <w:tc>
          <w:tcPr>
            <w:tcW w:w="4423" w:type="dxa"/>
            <w:shd w:val="clear" w:color="auto" w:fill="B4C6E7" w:themeFill="accent1" w:themeFillTint="66"/>
          </w:tcPr>
          <w:p w:rsidRPr="006641AD" w:rsidR="00AA16F6" w:rsidP="00AA16F6" w:rsidRDefault="00AA16F6" w14:paraId="201F41A5" w14:textId="77777777">
            <w:pPr>
              <w:autoSpaceDE w:val="0"/>
              <w:autoSpaceDN w:val="0"/>
              <w:adjustRightInd w:val="0"/>
              <w:spacing w:after="0" w:line="240" w:lineRule="auto"/>
              <w:rPr>
                <w:rFonts w:ascii="Calibri" w:hAnsi="Calibri" w:cs="Calibri"/>
                <w:color w:val="000000"/>
                <w:sz w:val="23"/>
                <w:szCs w:val="23"/>
              </w:rPr>
            </w:pPr>
            <w:r w:rsidRPr="006641AD">
              <w:rPr>
                <w:rFonts w:ascii="Calibri" w:hAnsi="Calibri"/>
                <w:b/>
                <w:color w:val="000000"/>
                <w:sz w:val="23"/>
              </w:rPr>
              <w:t xml:space="preserve">IMPACTANALYSE &amp; VOORAFGAANDE RAADPLEGING </w:t>
            </w:r>
          </w:p>
        </w:tc>
        <w:tc>
          <w:tcPr>
            <w:tcW w:w="4423" w:type="dxa"/>
          </w:tcPr>
          <w:p w:rsidRPr="006641AD" w:rsidR="00AA16F6" w:rsidP="683CC3A6" w:rsidRDefault="00AA16F6" w14:paraId="6A261282" w14:textId="748FEBE6">
            <w:pPr>
              <w:autoSpaceDE w:val="0"/>
              <w:autoSpaceDN w:val="0"/>
              <w:adjustRightInd w:val="0"/>
              <w:spacing w:after="0" w:line="240" w:lineRule="auto"/>
              <w:jc w:val="both"/>
              <w:rPr>
                <w:rFonts w:ascii="Calibri" w:hAnsi="Calibri" w:cs="Calibri"/>
                <w:color w:val="000000"/>
              </w:rPr>
            </w:pPr>
            <w:r w:rsidRPr="683CC3A6">
              <w:t>De o</w:t>
            </w:r>
            <w:r w:rsidRPr="683CC3A6" w:rsidR="2E4F7A90">
              <w:t>pdrachtnemer</w:t>
            </w:r>
            <w:r w:rsidRPr="683CC3A6">
              <w:t xml:space="preserve"> verbindt zich ertoe om de OVM te helpen bij de uitvoering van de impactanalyses betreffende de gegevensbescherming en/of bij de uitvoering van de voorafgaande raadpleging van de toezichthoudende autoriteit in geval van een hoog risico.</w:t>
            </w:r>
            <w:r w:rsidRPr="683CC3A6">
              <w:rPr>
                <w:rFonts w:ascii="Calibri" w:hAnsi="Calibri"/>
                <w:color w:val="000000" w:themeColor="text1"/>
              </w:rPr>
              <w:t xml:space="preserve"> </w:t>
            </w:r>
          </w:p>
        </w:tc>
      </w:tr>
      <w:tr w:rsidRPr="006641AD" w:rsidR="00AA16F6" w:rsidTr="683CC3A6" w14:paraId="6E4EB8E7" w14:textId="77777777">
        <w:trPr>
          <w:trHeight w:val="1292"/>
        </w:trPr>
        <w:tc>
          <w:tcPr>
            <w:tcW w:w="4423" w:type="dxa"/>
            <w:shd w:val="clear" w:color="auto" w:fill="B4C6E7" w:themeFill="accent1" w:themeFillTint="66"/>
          </w:tcPr>
          <w:p w:rsidRPr="006641AD" w:rsidR="00AA16F6" w:rsidP="00AA16F6" w:rsidRDefault="00AA16F6" w14:paraId="25ED6614" w14:textId="77777777">
            <w:pPr>
              <w:autoSpaceDE w:val="0"/>
              <w:autoSpaceDN w:val="0"/>
              <w:adjustRightInd w:val="0"/>
              <w:spacing w:after="0" w:line="240" w:lineRule="auto"/>
              <w:rPr>
                <w:rFonts w:ascii="Calibri" w:hAnsi="Calibri" w:cs="Calibri"/>
                <w:color w:val="000000"/>
                <w:sz w:val="23"/>
                <w:szCs w:val="23"/>
              </w:rPr>
            </w:pPr>
            <w:r w:rsidRPr="006641AD">
              <w:rPr>
                <w:rFonts w:ascii="Calibri" w:hAnsi="Calibri"/>
                <w:b/>
                <w:color w:val="000000"/>
                <w:sz w:val="23"/>
              </w:rPr>
              <w:t xml:space="preserve">UITOEFENING VAN DE RECHTEN VAN DE PERSONEN </w:t>
            </w:r>
          </w:p>
        </w:tc>
        <w:tc>
          <w:tcPr>
            <w:tcW w:w="4423" w:type="dxa"/>
          </w:tcPr>
          <w:p w:rsidRPr="006641AD" w:rsidR="00AA16F6" w:rsidP="683CC3A6" w:rsidRDefault="00AA16F6" w14:paraId="1F71DD97" w14:textId="0379AC28">
            <w:pPr>
              <w:autoSpaceDE w:val="0"/>
              <w:autoSpaceDN w:val="0"/>
              <w:adjustRightInd w:val="0"/>
              <w:spacing w:after="0" w:line="240" w:lineRule="auto"/>
              <w:jc w:val="both"/>
              <w:rPr>
                <w:rFonts w:ascii="Calibri" w:hAnsi="Calibri" w:cs="Calibri"/>
                <w:color w:val="000000"/>
              </w:rPr>
            </w:pPr>
            <w:r w:rsidRPr="683CC3A6">
              <w:t xml:space="preserve">De </w:t>
            </w:r>
            <w:r w:rsidRPr="683CC3A6" w:rsidR="34642A07">
              <w:t>opdrachtnemer</w:t>
            </w:r>
            <w:r w:rsidRPr="683CC3A6">
              <w:t xml:space="preserve"> verbindt zich ertoe om de OVM te helpen </w:t>
            </w:r>
            <w:r w:rsidR="00F05B84">
              <w:t>haar</w:t>
            </w:r>
            <w:r w:rsidRPr="683CC3A6">
              <w:t xml:space="preserve"> verplichting na te komen om gevolg te geven aan de verzoeken van de betrokken personen om hun rechten uit te oefenen zoals voorzien door de toepasselijke wetten inzake gegevensbescherming en de AVG.</w:t>
            </w:r>
            <w:r w:rsidRPr="683CC3A6">
              <w:rPr>
                <w:rFonts w:ascii="Calibri" w:hAnsi="Calibri"/>
                <w:color w:val="000000" w:themeColor="text1"/>
              </w:rPr>
              <w:t xml:space="preserve"> </w:t>
            </w:r>
            <w:r w:rsidRPr="683CC3A6">
              <w:t xml:space="preserve">Wanneer de betrokken personen bij de </w:t>
            </w:r>
            <w:r w:rsidRPr="683CC3A6" w:rsidR="3AD42CA5">
              <w:t>opdrachtnemer</w:t>
            </w:r>
            <w:r w:rsidRPr="683CC3A6">
              <w:t xml:space="preserve"> verzoeken doen om hun rechten uit te oefenen, moet de </w:t>
            </w:r>
            <w:r w:rsidRPr="683CC3A6" w:rsidR="203D41FD">
              <w:t>opdrachtnemer</w:t>
            </w:r>
            <w:r w:rsidRPr="683CC3A6">
              <w:t xml:space="preserve"> deze verzoeken bij ontvangst per e-mail sturen naar </w:t>
            </w:r>
            <w:r w:rsidRPr="683CC3A6">
              <w:rPr>
                <w:color w:val="FF0000"/>
              </w:rPr>
              <w:t>het e-mailadres @.</w:t>
            </w:r>
            <w:r w:rsidRPr="683CC3A6">
              <w:rPr>
                <w:rFonts w:ascii="Calibri" w:hAnsi="Calibri"/>
                <w:color w:val="000000" w:themeColor="text1"/>
              </w:rPr>
              <w:t xml:space="preserve"> </w:t>
            </w:r>
          </w:p>
        </w:tc>
      </w:tr>
      <w:tr w:rsidRPr="006641AD" w:rsidR="00AA16F6" w:rsidTr="683CC3A6" w14:paraId="4F68C09E" w14:textId="77777777">
        <w:trPr>
          <w:trHeight w:val="1145"/>
        </w:trPr>
        <w:tc>
          <w:tcPr>
            <w:tcW w:w="4423" w:type="dxa"/>
            <w:shd w:val="clear" w:color="auto" w:fill="B4C6E7" w:themeFill="accent1" w:themeFillTint="66"/>
          </w:tcPr>
          <w:p w:rsidRPr="006641AD" w:rsidR="00AA16F6" w:rsidP="00AA16F6" w:rsidRDefault="00AA16F6" w14:paraId="5D1867F5" w14:textId="77777777">
            <w:pPr>
              <w:autoSpaceDE w:val="0"/>
              <w:autoSpaceDN w:val="0"/>
              <w:adjustRightInd w:val="0"/>
              <w:spacing w:after="0" w:line="240" w:lineRule="auto"/>
              <w:rPr>
                <w:rFonts w:ascii="Calibri" w:hAnsi="Calibri" w:cs="Calibri"/>
                <w:color w:val="000000"/>
                <w:sz w:val="23"/>
                <w:szCs w:val="23"/>
              </w:rPr>
            </w:pPr>
            <w:r w:rsidRPr="006641AD">
              <w:rPr>
                <w:rFonts w:ascii="Calibri" w:hAnsi="Calibri"/>
                <w:b/>
                <w:color w:val="000000"/>
                <w:sz w:val="23"/>
              </w:rPr>
              <w:t xml:space="preserve">MELDING VAN INBREUKEN IN VERBAND MET PERSOONSGEGEVENS </w:t>
            </w:r>
          </w:p>
        </w:tc>
        <w:tc>
          <w:tcPr>
            <w:tcW w:w="4423" w:type="dxa"/>
          </w:tcPr>
          <w:p w:rsidRPr="006641AD" w:rsidR="00AA16F6" w:rsidP="683CC3A6" w:rsidRDefault="00AA16F6" w14:paraId="0C590D88" w14:textId="4A32E2DA">
            <w:pPr>
              <w:autoSpaceDE w:val="0"/>
              <w:autoSpaceDN w:val="0"/>
              <w:adjustRightInd w:val="0"/>
              <w:spacing w:after="0" w:line="240" w:lineRule="auto"/>
              <w:jc w:val="both"/>
              <w:rPr>
                <w:rFonts w:ascii="Calibri" w:hAnsi="Calibri" w:cs="Calibri"/>
                <w:color w:val="000000"/>
              </w:rPr>
            </w:pPr>
            <w:r w:rsidRPr="683CC3A6">
              <w:t xml:space="preserve">De </w:t>
            </w:r>
            <w:r w:rsidRPr="683CC3A6" w:rsidR="7F39D213">
              <w:t>opdrachtnemer</w:t>
            </w:r>
            <w:r w:rsidRPr="683CC3A6">
              <w:t xml:space="preserve"> verbindt zich ertoe om elke overtreding, lek of inbreuk op persoonsgegevens zo snel mogelijk aan de OVM te melden nadat hij er kennis van heeft genomen.</w:t>
            </w:r>
            <w:r w:rsidRPr="683CC3A6">
              <w:rPr>
                <w:rFonts w:ascii="Calibri" w:hAnsi="Calibri"/>
                <w:color w:val="000000" w:themeColor="text1"/>
              </w:rPr>
              <w:t xml:space="preserve"> </w:t>
            </w:r>
            <w:r w:rsidRPr="683CC3A6">
              <w:t xml:space="preserve">De </w:t>
            </w:r>
            <w:r w:rsidRPr="683CC3A6" w:rsidR="29067B29">
              <w:t>opdrachtnemer</w:t>
            </w:r>
            <w:r w:rsidRPr="683CC3A6">
              <w:t xml:space="preserve"> zal zijn uiterste best doen om deze melding te voorzien van alle nuttige documentatie om de OVM in staat te stellen, indien dit nodig is, deze inbreuk aan de bevoegde toezichthoudende autoriteit en aan de betrokken personen te melden.</w:t>
            </w:r>
            <w:r w:rsidRPr="683CC3A6">
              <w:rPr>
                <w:rFonts w:ascii="Calibri" w:hAnsi="Calibri"/>
                <w:color w:val="000000" w:themeColor="text1"/>
              </w:rPr>
              <w:t xml:space="preserve"> </w:t>
            </w:r>
          </w:p>
        </w:tc>
      </w:tr>
      <w:tr w:rsidRPr="006641AD" w:rsidR="00AA16F6" w:rsidTr="683CC3A6" w14:paraId="45945D20" w14:textId="77777777">
        <w:trPr>
          <w:trHeight w:val="412"/>
        </w:trPr>
        <w:tc>
          <w:tcPr>
            <w:tcW w:w="4423" w:type="dxa"/>
            <w:shd w:val="clear" w:color="auto" w:fill="B4C6E7" w:themeFill="accent1" w:themeFillTint="66"/>
          </w:tcPr>
          <w:p w:rsidRPr="006641AD" w:rsidR="00AA16F6" w:rsidP="00AA16F6" w:rsidRDefault="00AA16F6" w14:paraId="00B25FAB" w14:textId="77777777">
            <w:pPr>
              <w:autoSpaceDE w:val="0"/>
              <w:autoSpaceDN w:val="0"/>
              <w:adjustRightInd w:val="0"/>
              <w:spacing w:after="0" w:line="240" w:lineRule="auto"/>
              <w:rPr>
                <w:rFonts w:ascii="Calibri" w:hAnsi="Calibri" w:cs="Calibri"/>
                <w:color w:val="000000"/>
                <w:sz w:val="23"/>
                <w:szCs w:val="23"/>
              </w:rPr>
            </w:pPr>
            <w:r w:rsidRPr="006641AD">
              <w:rPr>
                <w:rFonts w:ascii="Calibri" w:hAnsi="Calibri"/>
                <w:b/>
                <w:color w:val="000000"/>
                <w:sz w:val="23"/>
              </w:rPr>
              <w:t xml:space="preserve">SAMENWERKING MET DE TOEZICHTHOUDENDE AUTORITEIT </w:t>
            </w:r>
          </w:p>
        </w:tc>
        <w:tc>
          <w:tcPr>
            <w:tcW w:w="4423" w:type="dxa"/>
          </w:tcPr>
          <w:p w:rsidRPr="006641AD" w:rsidR="00AA16F6" w:rsidP="683CC3A6" w:rsidRDefault="00AA16F6" w14:paraId="560CD6AC" w14:textId="34533F1F">
            <w:pPr>
              <w:autoSpaceDE w:val="0"/>
              <w:autoSpaceDN w:val="0"/>
              <w:adjustRightInd w:val="0"/>
              <w:spacing w:after="0" w:line="240" w:lineRule="auto"/>
              <w:jc w:val="both"/>
              <w:rPr>
                <w:rFonts w:ascii="Calibri" w:hAnsi="Calibri" w:cs="Calibri"/>
                <w:color w:val="000000"/>
              </w:rPr>
            </w:pPr>
            <w:r w:rsidRPr="683CC3A6">
              <w:t xml:space="preserve">De </w:t>
            </w:r>
            <w:r w:rsidRPr="683CC3A6" w:rsidR="4B4C3D6B">
              <w:t>opdrachtnemer</w:t>
            </w:r>
            <w:r w:rsidRPr="683CC3A6">
              <w:t xml:space="preserve"> verbindt zich ertoe om samen te werken met de toezichthoudende autoriteit, op haar verzoek of op verzoek van de OVM.</w:t>
            </w:r>
            <w:r w:rsidRPr="683CC3A6">
              <w:rPr>
                <w:rFonts w:ascii="Calibri" w:hAnsi="Calibri"/>
                <w:color w:val="000000" w:themeColor="text1"/>
              </w:rPr>
              <w:t xml:space="preserve"> </w:t>
            </w:r>
          </w:p>
        </w:tc>
      </w:tr>
      <w:tr w:rsidRPr="006641AD" w:rsidR="007C6AD6" w:rsidTr="683CC3A6" w14:paraId="6A9BD19E" w14:textId="77777777">
        <w:trPr>
          <w:trHeight w:val="412"/>
        </w:trPr>
        <w:tc>
          <w:tcPr>
            <w:tcW w:w="4423" w:type="dxa"/>
            <w:shd w:val="clear" w:color="auto" w:fill="B4C6E7" w:themeFill="accent1" w:themeFillTint="66"/>
          </w:tcPr>
          <w:p w:rsidRPr="006641AD" w:rsidR="007C6AD6" w:rsidP="007C6AD6" w:rsidRDefault="007C6AD6" w14:paraId="64D32942" w14:textId="77777777">
            <w:pPr>
              <w:pStyle w:val="Default"/>
              <w:rPr>
                <w:sz w:val="23"/>
                <w:szCs w:val="23"/>
              </w:rPr>
            </w:pPr>
            <w:r w:rsidRPr="006641AD">
              <w:rPr>
                <w:b/>
                <w:sz w:val="23"/>
              </w:rPr>
              <w:t xml:space="preserve">DOCUMENTATIE </w:t>
            </w:r>
          </w:p>
          <w:p w:rsidRPr="006641AD" w:rsidR="007C6AD6" w:rsidP="00AA16F6" w:rsidRDefault="007C6AD6" w14:paraId="2503A5E9" w14:textId="77777777">
            <w:pPr>
              <w:autoSpaceDE w:val="0"/>
              <w:autoSpaceDN w:val="0"/>
              <w:adjustRightInd w:val="0"/>
              <w:spacing w:after="0" w:line="240" w:lineRule="auto"/>
              <w:rPr>
                <w:rFonts w:ascii="Calibri" w:hAnsi="Calibri" w:cs="Calibri"/>
                <w:b/>
                <w:bCs/>
                <w:color w:val="000000"/>
                <w:sz w:val="23"/>
                <w:szCs w:val="23"/>
              </w:rPr>
            </w:pPr>
          </w:p>
        </w:tc>
        <w:tc>
          <w:tcPr>
            <w:tcW w:w="4423" w:type="dxa"/>
          </w:tcPr>
          <w:p w:rsidRPr="006641AD" w:rsidR="007C6AD6" w:rsidP="683CC3A6" w:rsidRDefault="007C6AD6" w14:paraId="18009D36" w14:textId="59BB6D4F">
            <w:pPr>
              <w:pStyle w:val="Default"/>
              <w:jc w:val="both"/>
              <w:rPr>
                <w:sz w:val="22"/>
                <w:szCs w:val="22"/>
              </w:rPr>
            </w:pPr>
            <w:r w:rsidRPr="683CC3A6">
              <w:rPr>
                <w:sz w:val="22"/>
                <w:szCs w:val="22"/>
              </w:rPr>
              <w:t xml:space="preserve">De </w:t>
            </w:r>
            <w:r w:rsidRPr="683CC3A6" w:rsidR="1EFCC7CA">
              <w:rPr>
                <w:sz w:val="22"/>
                <w:szCs w:val="22"/>
              </w:rPr>
              <w:t>opdrachtnemer</w:t>
            </w:r>
            <w:r w:rsidRPr="683CC3A6">
              <w:rPr>
                <w:sz w:val="22"/>
                <w:szCs w:val="22"/>
              </w:rPr>
              <w:t xml:space="preserve"> stelt de OVM de documentatie ter beschikking die nodig is om de naleving van al haar verplichtingen aan te tonen en om de uitvoering van audits, met inbegrip van inspecties, door de OVM of een andere auditor die hij gemachtigd heeft, mogelijk te maken en mee te werken aan deze audits. </w:t>
            </w:r>
          </w:p>
        </w:tc>
      </w:tr>
    </w:tbl>
    <w:p w:rsidRPr="006641AD" w:rsidR="00AA16F6" w:rsidP="00AA16F6" w:rsidRDefault="00AA16F6" w14:paraId="68EDC3B4" w14:textId="29DF9731">
      <w:pPr>
        <w:jc w:val="both"/>
      </w:pPr>
    </w:p>
    <w:p w:rsidRPr="006641AD" w:rsidR="007C6AD6" w:rsidP="007C6AD6" w:rsidRDefault="007C6AD6" w14:paraId="75FC06A9" w14:textId="77777777">
      <w:pPr>
        <w:pStyle w:val="Lijstalinea"/>
        <w:numPr>
          <w:ilvl w:val="0"/>
          <w:numId w:val="1"/>
        </w:numPr>
        <w:jc w:val="both"/>
        <w:rPr>
          <w:b/>
          <w:bCs/>
          <w:u w:val="single"/>
        </w:rPr>
      </w:pPr>
      <w:r w:rsidRPr="683CC3A6">
        <w:rPr>
          <w:b/>
          <w:bCs/>
          <w:u w:val="single"/>
        </w:rPr>
        <w:t>FUNCTIONARIS VOOR GEGEVENSBESCHERMING (‘FG’)</w:t>
      </w:r>
    </w:p>
    <w:tbl>
      <w:tblPr>
        <w:tblStyle w:val="Tabelraster"/>
        <w:tblW w:w="0" w:type="auto"/>
        <w:tblLayout w:type="fixed"/>
        <w:tblLook w:val="06A0" w:firstRow="1" w:lastRow="0" w:firstColumn="1" w:lastColumn="0" w:noHBand="1" w:noVBand="1"/>
      </w:tblPr>
      <w:tblGrid>
        <w:gridCol w:w="9015"/>
      </w:tblGrid>
      <w:tr w:rsidR="683CC3A6" w:rsidTr="683CC3A6" w14:paraId="2EFB1137" w14:textId="77777777">
        <w:trPr>
          <w:trHeight w:val="300"/>
        </w:trPr>
        <w:tc>
          <w:tcPr>
            <w:tcW w:w="9015" w:type="dxa"/>
          </w:tcPr>
          <w:p w:rsidR="26F3CC06" w:rsidP="683CC3A6" w:rsidRDefault="26F3CC06" w14:paraId="75CA36C3" w14:textId="0A4CA691">
            <w:pPr>
              <w:pStyle w:val="Default"/>
              <w:jc w:val="center"/>
              <w:rPr>
                <w:i/>
                <w:iCs/>
                <w:color w:val="FF0000"/>
                <w:sz w:val="22"/>
                <w:szCs w:val="22"/>
                <w:u w:val="single"/>
              </w:rPr>
            </w:pPr>
            <w:r w:rsidRPr="683CC3A6">
              <w:rPr>
                <w:i/>
                <w:iCs/>
                <w:color w:val="FF0000"/>
                <w:sz w:val="22"/>
                <w:szCs w:val="22"/>
                <w:u w:val="single"/>
              </w:rPr>
              <w:t>Richtlijnen a</w:t>
            </w:r>
            <w:r w:rsidR="000F5455">
              <w:rPr>
                <w:i/>
                <w:iCs/>
                <w:color w:val="FF0000"/>
                <w:sz w:val="22"/>
                <w:szCs w:val="22"/>
                <w:u w:val="single"/>
              </w:rPr>
              <w:t>a</w:t>
            </w:r>
            <w:r w:rsidRPr="683CC3A6">
              <w:rPr>
                <w:i/>
                <w:iCs/>
                <w:color w:val="FF0000"/>
                <w:sz w:val="22"/>
                <w:szCs w:val="22"/>
                <w:u w:val="single"/>
              </w:rPr>
              <w:t>n de OVM:</w:t>
            </w:r>
          </w:p>
          <w:p w:rsidR="26F3CC06" w:rsidP="683CC3A6" w:rsidRDefault="26F3CC06" w14:paraId="7DED0A8B" w14:textId="0CD4891E">
            <w:pPr>
              <w:jc w:val="center"/>
              <w:rPr>
                <w:i/>
                <w:iCs/>
                <w:color w:val="FF0000"/>
              </w:rPr>
            </w:pPr>
            <w:r w:rsidRPr="683CC3A6">
              <w:rPr>
                <w:i/>
                <w:iCs/>
                <w:color w:val="FF0000"/>
              </w:rPr>
              <w:t>De OVM is verplicht om een functionaris voor gegevensbescherming aan te wijzen.</w:t>
            </w:r>
          </w:p>
        </w:tc>
      </w:tr>
    </w:tbl>
    <w:p w:rsidRPr="006641AD" w:rsidR="007C6AD6" w:rsidP="683CC3A6" w:rsidRDefault="007C6AD6" w14:paraId="7AC05DE4" w14:textId="64B7A842">
      <w:pPr>
        <w:jc w:val="both"/>
      </w:pPr>
    </w:p>
    <w:p w:rsidRPr="006641AD" w:rsidR="007C6AD6" w:rsidP="683CC3A6" w:rsidRDefault="007C6AD6" w14:paraId="609876A8" w14:textId="75121E98">
      <w:pPr>
        <w:jc w:val="both"/>
        <w:rPr>
          <w:b/>
          <w:bCs/>
        </w:rPr>
      </w:pPr>
      <w:r>
        <w:t>De FG kan worden gecontacteerd op het volgende adres</w:t>
      </w:r>
      <w:r w:rsidR="14443AFC">
        <w:t xml:space="preserve">: </w:t>
      </w:r>
      <w:r w:rsidRPr="683CC3A6" w:rsidR="14443AFC">
        <w:rPr>
          <w:color w:val="FF0000"/>
        </w:rPr>
        <w:t>XXX (naam) - XXX (adres) - XXX (tel.) - XXX (e</w:t>
      </w:r>
      <w:r w:rsidR="001B031E">
        <w:rPr>
          <w:color w:val="FF0000"/>
        </w:rPr>
        <w:t>-</w:t>
      </w:r>
      <w:r w:rsidRPr="683CC3A6" w:rsidR="14443AFC">
        <w:rPr>
          <w:color w:val="FF0000"/>
        </w:rPr>
        <w:t>mailadres).</w:t>
      </w:r>
    </w:p>
    <w:p w:rsidRPr="006641AD" w:rsidR="00E55F4A" w:rsidP="00E55F4A" w:rsidRDefault="00E55F4A" w14:paraId="7ACC94E3" w14:textId="77777777">
      <w:pPr>
        <w:pStyle w:val="Lijstalinea"/>
        <w:jc w:val="both"/>
        <w:rPr>
          <w:b/>
          <w:bCs/>
          <w:u w:val="single"/>
        </w:rPr>
      </w:pPr>
    </w:p>
    <w:p w:rsidRPr="006641AD" w:rsidR="007C6AD6" w:rsidP="007C6AD6" w:rsidRDefault="007C6AD6" w14:paraId="540CEF36" w14:textId="72F34C8C">
      <w:pPr>
        <w:pStyle w:val="Lijstalinea"/>
        <w:numPr>
          <w:ilvl w:val="0"/>
          <w:numId w:val="1"/>
        </w:numPr>
        <w:jc w:val="both"/>
        <w:rPr>
          <w:b/>
          <w:bCs/>
          <w:u w:val="single"/>
        </w:rPr>
      </w:pPr>
      <w:r w:rsidRPr="006641AD">
        <w:rPr>
          <w:b/>
          <w:u w:val="single"/>
        </w:rPr>
        <w:t>VERPLICHTINGEN VAN DE VERWERKINGSVERANTWOORDELIJKE</w:t>
      </w:r>
    </w:p>
    <w:p w:rsidRPr="006641AD" w:rsidR="007C6AD6" w:rsidP="007C6AD6" w:rsidRDefault="00126E70" w14:paraId="0F41BED7" w14:textId="3C9449E4">
      <w:pPr>
        <w:jc w:val="both"/>
      </w:pPr>
      <w:r w:rsidRPr="006641AD">
        <w:t>De OVM verbindt zich ertoe:</w:t>
      </w:r>
    </w:p>
    <w:p w:rsidRPr="006641AD" w:rsidR="007C6AD6" w:rsidP="00382F0A" w:rsidRDefault="007C6AD6" w14:paraId="6842F7E0" w14:textId="24C6C049">
      <w:pPr>
        <w:pStyle w:val="Lijstalinea"/>
        <w:numPr>
          <w:ilvl w:val="0"/>
          <w:numId w:val="15"/>
        </w:numPr>
        <w:spacing w:after="0"/>
        <w:jc w:val="both"/>
      </w:pPr>
      <w:r>
        <w:t>de gegevens aan de o</w:t>
      </w:r>
      <w:r w:rsidR="6598B137">
        <w:t>pdrachtnemer</w:t>
      </w:r>
      <w:r>
        <w:t xml:space="preserve"> te bezorgen overeenkomstig de voorziene modaliteiten tussen de partijen;</w:t>
      </w:r>
    </w:p>
    <w:p w:rsidRPr="006641AD" w:rsidR="007C6AD6" w:rsidP="683CC3A6" w:rsidRDefault="007C6AD6" w14:paraId="6C2C27EF" w14:textId="0648A9BC">
      <w:pPr>
        <w:pStyle w:val="Lijstalinea"/>
        <w:numPr>
          <w:ilvl w:val="0"/>
          <w:numId w:val="15"/>
        </w:numPr>
        <w:spacing w:after="0"/>
        <w:jc w:val="both"/>
      </w:pPr>
      <w:r w:rsidRPr="683CC3A6">
        <w:t xml:space="preserve">elke instructie betreffende de verwerking van gegevens door de </w:t>
      </w:r>
      <w:r w:rsidRPr="683CC3A6" w:rsidR="44EB23D0">
        <w:t>opdrachtnemer</w:t>
      </w:r>
      <w:r w:rsidRPr="683CC3A6">
        <w:t xml:space="preserve"> schriftelijk te documenteren, met name door middel van de </w:t>
      </w:r>
      <w:r w:rsidR="00F05B84">
        <w:t>AVG-fiche</w:t>
      </w:r>
      <w:r w:rsidRPr="683CC3A6" w:rsidR="00407FD4">
        <w:t xml:space="preserve"> (bijlage III.9bis)</w:t>
      </w:r>
      <w:r w:rsidRPr="683CC3A6">
        <w:t>;</w:t>
      </w:r>
    </w:p>
    <w:p w:rsidRPr="006641AD" w:rsidR="007C6AD6" w:rsidP="00382F0A" w:rsidRDefault="007C6AD6" w14:paraId="7504FAAD" w14:textId="2A84154A">
      <w:pPr>
        <w:pStyle w:val="Lijstalinea"/>
        <w:numPr>
          <w:ilvl w:val="0"/>
          <w:numId w:val="15"/>
        </w:numPr>
        <w:spacing w:after="0"/>
        <w:jc w:val="both"/>
      </w:pPr>
      <w:r w:rsidRPr="006641AD">
        <w:t>te waken, voor en tijdens de volledige duur van de verwerking, over de naleving van de voorziene verplichtingen door de AVG in haar hoedanigheid van verwerkingsverantwoordelijke;</w:t>
      </w:r>
    </w:p>
    <w:p w:rsidRPr="006641AD" w:rsidR="007C6AD6" w:rsidP="00382F0A" w:rsidRDefault="007C6AD6" w14:paraId="5B11AC9E" w14:textId="6D59D56F">
      <w:pPr>
        <w:pStyle w:val="Lijstalinea"/>
        <w:numPr>
          <w:ilvl w:val="0"/>
          <w:numId w:val="15"/>
        </w:numPr>
        <w:spacing w:after="0"/>
        <w:jc w:val="both"/>
      </w:pPr>
      <w:r>
        <w:t xml:space="preserve">toezicht te houden op de verwerking bij de </w:t>
      </w:r>
      <w:r w:rsidR="56154ED2">
        <w:t>opdrachtnemer</w:t>
      </w:r>
      <w:r>
        <w:t xml:space="preserve"> en hem alle nodige samenwerking te verlenen om zijn verplichtingen te vervullen in zijn hoedanigheid van </w:t>
      </w:r>
      <w:r w:rsidR="71D168C1">
        <w:t>opdrachtnemer</w:t>
      </w:r>
      <w:r>
        <w:t>.</w:t>
      </w:r>
    </w:p>
    <w:p w:rsidRPr="006641AD" w:rsidR="00E55F4A" w:rsidP="00E55F4A" w:rsidRDefault="00E55F4A" w14:paraId="23AA5C7B" w14:textId="77777777">
      <w:pPr>
        <w:pStyle w:val="Lijstalinea"/>
        <w:spacing w:after="0"/>
        <w:jc w:val="both"/>
      </w:pPr>
    </w:p>
    <w:p w:rsidRPr="006641AD" w:rsidR="007C6AD6" w:rsidP="00382F0A" w:rsidRDefault="007C6AD6" w14:paraId="50180748" w14:textId="27BA9511">
      <w:pPr>
        <w:pStyle w:val="Lijstalinea"/>
        <w:numPr>
          <w:ilvl w:val="0"/>
          <w:numId w:val="1"/>
        </w:numPr>
        <w:jc w:val="both"/>
        <w:rPr>
          <w:b/>
          <w:bCs/>
          <w:u w:val="single"/>
        </w:rPr>
      </w:pPr>
      <w:r w:rsidRPr="006641AD">
        <w:rPr>
          <w:b/>
          <w:u w:val="single"/>
        </w:rPr>
        <w:t>VERANTWOORDELIJKHEDEN</w:t>
      </w:r>
    </w:p>
    <w:p w:rsidRPr="006641AD" w:rsidR="007C6AD6" w:rsidP="683CC3A6" w:rsidRDefault="007C6AD6" w14:paraId="44DC45D9" w14:textId="4A01D456">
      <w:pPr>
        <w:jc w:val="both"/>
      </w:pPr>
      <w:r>
        <w:t xml:space="preserve">De </w:t>
      </w:r>
      <w:r w:rsidR="01DBA8C8">
        <w:t>opdrachtnemer</w:t>
      </w:r>
      <w:r>
        <w:t xml:space="preserve"> zal alleen verantwoordelijk worden gehouden voor de schade veroorzaakt door de verwerking indien hij niet onderhavige algemene voorwaarden heeft nageleefd, in het bijzonder als hij heeft gehandeld buiten of tegen de geoorloofde instructies van de OVM, en/of indien hij niet de verplichtingen heeft nageleefd vastgelegd door of krachtens de toepasselijke wetten in België inzake gegevensbescherming (met name de wet van 30 juli 2018 betreffende de bescherming van natuurlijke personen met betrekking tot de verwerking van persoonsgegevens) en de AVG, onverminderd de verantwoordelijkheid krachtens andere regels. De </w:t>
      </w:r>
      <w:r w:rsidR="29F04239">
        <w:t>opdrachtnemer</w:t>
      </w:r>
      <w:r>
        <w:t xml:space="preserve"> zal de OVM volledig schadeloosstellen in geval van een veroordeling van deze laatste. </w:t>
      </w:r>
    </w:p>
    <w:p w:rsidRPr="006641AD" w:rsidR="007C6AD6" w:rsidP="683CC3A6" w:rsidRDefault="007C6AD6" w14:paraId="517076DD" w14:textId="565B68A6">
      <w:pPr>
        <w:jc w:val="both"/>
      </w:pPr>
      <w:r>
        <w:t xml:space="preserve">Wanneer de OVM en de </w:t>
      </w:r>
      <w:r w:rsidR="7CB076FE">
        <w:t>opdrachtnemer</w:t>
      </w:r>
      <w:r>
        <w:t xml:space="preserve"> meewerken aan dezelfde verwerking en verantwoordelijk zijn voor schade veroorzaakt door de verwerking, wordt de OVM of de </w:t>
      </w:r>
      <w:r w:rsidR="0F076C1A">
        <w:t>opdrachtnemer</w:t>
      </w:r>
      <w:r>
        <w:t xml:space="preserve"> volledig verantwoordelijk gehouden voor de schade. In dit geval heeft degene die de geleden schade volledig heeft vergoed, het recht om van de andere partij het deel van de vergoeding te eisen dat overeenkomt met haar deel van de verantwoordelijkheid.</w:t>
      </w:r>
    </w:p>
    <w:p w:rsidRPr="006641AD" w:rsidR="007C6AD6" w:rsidP="683CC3A6" w:rsidRDefault="007C6AD6" w14:paraId="39823C68" w14:textId="438CEED3">
      <w:pPr>
        <w:jc w:val="both"/>
      </w:pPr>
      <w:r>
        <w:t xml:space="preserve">De </w:t>
      </w:r>
      <w:r w:rsidR="739385AF">
        <w:t>opdrachtnemer</w:t>
      </w:r>
      <w:r>
        <w:t xml:space="preserve"> zal van zijn verantwoordelijkheid worden ontheven indien hij bewijst dat de gebeurtenis die de schade heeft veroorzaakt hem niet kan worden toegeschreven. De </w:t>
      </w:r>
      <w:r w:rsidR="77470E5B">
        <w:t>opdrachtnemer</w:t>
      </w:r>
      <w:r>
        <w:t xml:space="preserve"> kan zich echter niet beroepen op een tekortkoming door een secundaire aannemer aan zijn verplichtingen voortvloeiend uit deze algemene voorwaarden om zich te onttrekken aan zijn eigen verantwoordelijkheden. Met andere woorden is de </w:t>
      </w:r>
      <w:r w:rsidR="2FB0AA0C">
        <w:t>opdrachtnemer</w:t>
      </w:r>
      <w:r>
        <w:t xml:space="preserve"> tegenover de OVM verantwoordelijk voor de slechte uitvoering van de contractuele verplichtingen van zijn eigen onderaannemers.</w:t>
      </w:r>
    </w:p>
    <w:p w:rsidRPr="006641AD" w:rsidR="007C6AD6" w:rsidP="00382F0A" w:rsidRDefault="007C6AD6" w14:paraId="545432A1" w14:textId="64BAB1B2">
      <w:pPr>
        <w:pStyle w:val="Lijstalinea"/>
        <w:numPr>
          <w:ilvl w:val="0"/>
          <w:numId w:val="1"/>
        </w:numPr>
        <w:jc w:val="both"/>
        <w:rPr>
          <w:b/>
          <w:bCs/>
          <w:u w:val="single"/>
        </w:rPr>
      </w:pPr>
      <w:r w:rsidRPr="006641AD">
        <w:rPr>
          <w:b/>
          <w:u w:val="single"/>
        </w:rPr>
        <w:t>TOEPASSELIJK RECHT EN BEVOEGDE RECHTBANKEN</w:t>
      </w:r>
    </w:p>
    <w:p w:rsidRPr="006641AD" w:rsidR="007C6AD6" w:rsidP="007C6AD6" w:rsidRDefault="007C6AD6" w14:paraId="3D2723F4" w14:textId="77777777">
      <w:pPr>
        <w:jc w:val="both"/>
      </w:pPr>
      <w:r w:rsidRPr="006641AD">
        <w:t>Onderhavige algemene voorwaarden vallen onder het Belgisch recht.</w:t>
      </w:r>
    </w:p>
    <w:p w:rsidRPr="006641AD" w:rsidR="007C6AD6" w:rsidP="007C6AD6" w:rsidRDefault="007C6AD6" w14:paraId="01B7FCC2" w14:textId="35E5FC97">
      <w:pPr>
        <w:jc w:val="both"/>
      </w:pPr>
      <w:r w:rsidRPr="006641AD">
        <w:t>Elk geschil betreffende de interpretatie of de uitvoering van onderhavige algemene voorwaarden zal onder het Belgisch recht vallen en zal onder de exclusieve bevoegdheid van de Franstalige rechtbanken van het gerechtelijk arrondissement Brussel vallen.</w:t>
      </w:r>
    </w:p>
    <w:p w:rsidRPr="006641AD" w:rsidR="001306C4" w:rsidP="007C6AD6" w:rsidRDefault="001306C4" w14:paraId="1EBFD37B" w14:textId="4020D8BF">
      <w:pPr>
        <w:jc w:val="both"/>
      </w:pPr>
    </w:p>
    <w:p w:rsidRPr="006641AD" w:rsidR="001306C4" w:rsidP="683CC3A6" w:rsidRDefault="001306C4" w14:paraId="4727E0AB" w14:textId="7DD3D8C6">
      <w:pPr>
        <w:jc w:val="both"/>
      </w:pPr>
      <w:r>
        <w:t xml:space="preserve">Handtekeningen en contactgegevens van de </w:t>
      </w:r>
      <w:r w:rsidR="24757727">
        <w:t>opdrachtnemer</w:t>
      </w:r>
    </w:p>
    <w:sectPr w:rsidRPr="006641AD" w:rsidR="001306C4">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0B91" w:rsidP="007A2B75" w:rsidRDefault="00570B91" w14:paraId="7C743513" w14:textId="77777777">
      <w:pPr>
        <w:spacing w:after="0" w:line="240" w:lineRule="auto"/>
      </w:pPr>
      <w:r>
        <w:separator/>
      </w:r>
    </w:p>
  </w:endnote>
  <w:endnote w:type="continuationSeparator" w:id="0">
    <w:p w:rsidR="00570B91" w:rsidP="007A2B75" w:rsidRDefault="00570B91" w14:paraId="56A3D85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871508"/>
      <w:docPartObj>
        <w:docPartGallery w:val="Page Numbers (Bottom of Page)"/>
        <w:docPartUnique/>
      </w:docPartObj>
    </w:sdtPr>
    <w:sdtEndPr>
      <w:rPr>
        <w:noProof/>
      </w:rPr>
    </w:sdtEndPr>
    <w:sdtContent>
      <w:p w:rsidR="001F34A7" w:rsidRDefault="008C6196" w14:paraId="44302AB1" w14:textId="5717CE21">
        <w:pPr>
          <w:pStyle w:val="Voettekst"/>
          <w:jc w:val="right"/>
        </w:pPr>
        <w:r>
          <w:t>/</w:t>
        </w:r>
        <w:r w:rsidR="001F34A7">
          <w:fldChar w:fldCharType="begin"/>
        </w:r>
        <w:r w:rsidR="001F34A7">
          <w:instrText xml:space="preserve"> PAGE   \* MERGEFORMAT </w:instrText>
        </w:r>
        <w:r w:rsidR="001F34A7">
          <w:fldChar w:fldCharType="separate"/>
        </w:r>
        <w:r w:rsidR="001F34A7">
          <w:t>2</w:t>
        </w:r>
        <w:r w:rsidR="001F34A7">
          <w:fldChar w:fldCharType="end"/>
        </w:r>
      </w:p>
    </w:sdtContent>
  </w:sdt>
  <w:p w:rsidRPr="001F34A7" w:rsidR="007A2B75" w:rsidRDefault="001F34A7" w14:paraId="273FF05B" w14:textId="3D6B3D4E">
    <w:pPr>
      <w:pStyle w:val="Voettekst"/>
    </w:pPr>
    <w:r>
      <w:t>Versie 22-9-2021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0B91" w:rsidP="007A2B75" w:rsidRDefault="00570B91" w14:paraId="64DE0B9E" w14:textId="77777777">
      <w:pPr>
        <w:spacing w:after="0" w:line="240" w:lineRule="auto"/>
      </w:pPr>
      <w:r>
        <w:separator/>
      </w:r>
    </w:p>
  </w:footnote>
  <w:footnote w:type="continuationSeparator" w:id="0">
    <w:p w:rsidR="00570B91" w:rsidP="007A2B75" w:rsidRDefault="00570B91" w14:paraId="3BA383C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F01C33"/>
    <w:multiLevelType w:val="hybridMultilevel"/>
    <w:tmpl w:val="5630CB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E713DD"/>
    <w:multiLevelType w:val="hybridMultilevel"/>
    <w:tmpl w:val="8C69F6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54F546"/>
    <w:multiLevelType w:val="hybridMultilevel"/>
    <w:tmpl w:val="8247F9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5560A6E"/>
    <w:multiLevelType w:val="hybridMultilevel"/>
    <w:tmpl w:val="6F00EA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90071B"/>
    <w:multiLevelType w:val="hybridMultilevel"/>
    <w:tmpl w:val="ACF0BF6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CFE1BE6"/>
    <w:multiLevelType w:val="hybridMultilevel"/>
    <w:tmpl w:val="A0666D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1DE753"/>
    <w:multiLevelType w:val="hybridMultilevel"/>
    <w:tmpl w:val="D88BDA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4AD6ED0"/>
    <w:multiLevelType w:val="hybridMultilevel"/>
    <w:tmpl w:val="FB024174"/>
    <w:lvl w:ilvl="0" w:tplc="2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8" w15:restartNumberingAfterBreak="0">
    <w:nsid w:val="287851C9"/>
    <w:multiLevelType w:val="hybridMultilevel"/>
    <w:tmpl w:val="4E8013D0"/>
    <w:lvl w:ilvl="0" w:tplc="5D2AAB1A">
      <w:start w:val="1"/>
      <w:numFmt w:val="bullet"/>
      <w:lvlText w:val=""/>
      <w:lvlJc w:val="left"/>
      <w:pPr>
        <w:ind w:left="720" w:hanging="360"/>
      </w:pPr>
      <w:rPr>
        <w:rFonts w:hint="default" w:ascii="Symbol" w:hAnsi="Symbol"/>
      </w:rPr>
    </w:lvl>
    <w:lvl w:ilvl="1" w:tplc="9E42E928">
      <w:start w:val="1"/>
      <w:numFmt w:val="bullet"/>
      <w:lvlText w:val="o"/>
      <w:lvlJc w:val="left"/>
      <w:pPr>
        <w:ind w:left="1440" w:hanging="360"/>
      </w:pPr>
      <w:rPr>
        <w:rFonts w:hint="default" w:ascii="Courier New" w:hAnsi="Courier New"/>
      </w:rPr>
    </w:lvl>
    <w:lvl w:ilvl="2" w:tplc="26063790">
      <w:start w:val="1"/>
      <w:numFmt w:val="bullet"/>
      <w:lvlText w:val=""/>
      <w:lvlJc w:val="left"/>
      <w:pPr>
        <w:ind w:left="2160" w:hanging="360"/>
      </w:pPr>
      <w:rPr>
        <w:rFonts w:hint="default" w:ascii="Wingdings" w:hAnsi="Wingdings"/>
      </w:rPr>
    </w:lvl>
    <w:lvl w:ilvl="3" w:tplc="E93EACBA">
      <w:start w:val="1"/>
      <w:numFmt w:val="bullet"/>
      <w:lvlText w:val=""/>
      <w:lvlJc w:val="left"/>
      <w:pPr>
        <w:ind w:left="2880" w:hanging="360"/>
      </w:pPr>
      <w:rPr>
        <w:rFonts w:hint="default" w:ascii="Symbol" w:hAnsi="Symbol"/>
      </w:rPr>
    </w:lvl>
    <w:lvl w:ilvl="4" w:tplc="F42E0C4E">
      <w:start w:val="1"/>
      <w:numFmt w:val="bullet"/>
      <w:lvlText w:val="o"/>
      <w:lvlJc w:val="left"/>
      <w:pPr>
        <w:ind w:left="3600" w:hanging="360"/>
      </w:pPr>
      <w:rPr>
        <w:rFonts w:hint="default" w:ascii="Courier New" w:hAnsi="Courier New"/>
      </w:rPr>
    </w:lvl>
    <w:lvl w:ilvl="5" w:tplc="6C381B84">
      <w:start w:val="1"/>
      <w:numFmt w:val="bullet"/>
      <w:lvlText w:val=""/>
      <w:lvlJc w:val="left"/>
      <w:pPr>
        <w:ind w:left="4320" w:hanging="360"/>
      </w:pPr>
      <w:rPr>
        <w:rFonts w:hint="default" w:ascii="Wingdings" w:hAnsi="Wingdings"/>
      </w:rPr>
    </w:lvl>
    <w:lvl w:ilvl="6" w:tplc="14DEEC9A">
      <w:start w:val="1"/>
      <w:numFmt w:val="bullet"/>
      <w:lvlText w:val=""/>
      <w:lvlJc w:val="left"/>
      <w:pPr>
        <w:ind w:left="5040" w:hanging="360"/>
      </w:pPr>
      <w:rPr>
        <w:rFonts w:hint="default" w:ascii="Symbol" w:hAnsi="Symbol"/>
      </w:rPr>
    </w:lvl>
    <w:lvl w:ilvl="7" w:tplc="77C421DE">
      <w:start w:val="1"/>
      <w:numFmt w:val="bullet"/>
      <w:lvlText w:val="o"/>
      <w:lvlJc w:val="left"/>
      <w:pPr>
        <w:ind w:left="5760" w:hanging="360"/>
      </w:pPr>
      <w:rPr>
        <w:rFonts w:hint="default" w:ascii="Courier New" w:hAnsi="Courier New"/>
      </w:rPr>
    </w:lvl>
    <w:lvl w:ilvl="8" w:tplc="865C1864">
      <w:start w:val="1"/>
      <w:numFmt w:val="bullet"/>
      <w:lvlText w:val=""/>
      <w:lvlJc w:val="left"/>
      <w:pPr>
        <w:ind w:left="6480" w:hanging="360"/>
      </w:pPr>
      <w:rPr>
        <w:rFonts w:hint="default" w:ascii="Wingdings" w:hAnsi="Wingdings"/>
      </w:rPr>
    </w:lvl>
  </w:abstractNum>
  <w:abstractNum w:abstractNumId="9" w15:restartNumberingAfterBreak="0">
    <w:nsid w:val="29717BD9"/>
    <w:multiLevelType w:val="hybridMultilevel"/>
    <w:tmpl w:val="15A230A4"/>
    <w:lvl w:ilvl="0" w:tplc="2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0" w15:restartNumberingAfterBreak="0">
    <w:nsid w:val="2A0B28D1"/>
    <w:multiLevelType w:val="hybridMultilevel"/>
    <w:tmpl w:val="E2C64436"/>
    <w:lvl w:ilvl="0" w:tplc="C50291D4">
      <w:start w:val="9"/>
      <w:numFmt w:val="bullet"/>
      <w:lvlText w:val="•"/>
      <w:lvlJc w:val="left"/>
      <w:pPr>
        <w:ind w:left="720" w:hanging="360"/>
      </w:pPr>
      <w:rPr>
        <w:rFonts w:hint="default" w:ascii="Calibri" w:hAnsi="Calibri" w:cs="Calibri" w:eastAsiaTheme="minorHAnsi"/>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1" w15:restartNumberingAfterBreak="0">
    <w:nsid w:val="42720DD3"/>
    <w:multiLevelType w:val="hybridMultilevel"/>
    <w:tmpl w:val="D4FCD8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0A16845"/>
    <w:multiLevelType w:val="hybridMultilevel"/>
    <w:tmpl w:val="11E566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3D5BD17"/>
    <w:multiLevelType w:val="hybridMultilevel"/>
    <w:tmpl w:val="79743C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7F2785E"/>
    <w:multiLevelType w:val="hybridMultilevel"/>
    <w:tmpl w:val="DF8A3B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77C226C6"/>
    <w:multiLevelType w:val="hybridMultilevel"/>
    <w:tmpl w:val="78F01026"/>
    <w:lvl w:ilvl="0" w:tplc="2000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num w:numId="1" w16cid:durableId="1685476127">
    <w:abstractNumId w:val="14"/>
  </w:num>
  <w:num w:numId="2" w16cid:durableId="744450830">
    <w:abstractNumId w:val="0"/>
  </w:num>
  <w:num w:numId="3" w16cid:durableId="1929456800">
    <w:abstractNumId w:val="11"/>
  </w:num>
  <w:num w:numId="4" w16cid:durableId="1708221099">
    <w:abstractNumId w:val="3"/>
  </w:num>
  <w:num w:numId="5" w16cid:durableId="1989090422">
    <w:abstractNumId w:val="12"/>
  </w:num>
  <w:num w:numId="6" w16cid:durableId="1295595475">
    <w:abstractNumId w:val="15"/>
  </w:num>
  <w:num w:numId="7" w16cid:durableId="1295598929">
    <w:abstractNumId w:val="13"/>
  </w:num>
  <w:num w:numId="8" w16cid:durableId="34504080">
    <w:abstractNumId w:val="1"/>
  </w:num>
  <w:num w:numId="9" w16cid:durableId="1043866712">
    <w:abstractNumId w:val="6"/>
  </w:num>
  <w:num w:numId="10" w16cid:durableId="1622495836">
    <w:abstractNumId w:val="5"/>
  </w:num>
  <w:num w:numId="11" w16cid:durableId="21058441">
    <w:abstractNumId w:val="2"/>
  </w:num>
  <w:num w:numId="12" w16cid:durableId="224534982">
    <w:abstractNumId w:val="4"/>
  </w:num>
  <w:num w:numId="13" w16cid:durableId="297343273">
    <w:abstractNumId w:val="9"/>
  </w:num>
  <w:num w:numId="14" w16cid:durableId="915360878">
    <w:abstractNumId w:val="7"/>
  </w:num>
  <w:num w:numId="15" w16cid:durableId="482084120">
    <w:abstractNumId w:val="10"/>
  </w:num>
  <w:num w:numId="16" w16cid:durableId="10272955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revisionView w:insDel="0" w:formatting="0"/>
  <w:trackRevisions w:val="false"/>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F6"/>
    <w:rsid w:val="00014D7E"/>
    <w:rsid w:val="0003215A"/>
    <w:rsid w:val="000F5455"/>
    <w:rsid w:val="00126E70"/>
    <w:rsid w:val="001306C4"/>
    <w:rsid w:val="001320CB"/>
    <w:rsid w:val="001B031E"/>
    <w:rsid w:val="001B137B"/>
    <w:rsid w:val="001F34A7"/>
    <w:rsid w:val="0032104E"/>
    <w:rsid w:val="00332143"/>
    <w:rsid w:val="00353404"/>
    <w:rsid w:val="00382F0A"/>
    <w:rsid w:val="00407FD4"/>
    <w:rsid w:val="00415A96"/>
    <w:rsid w:val="00422E90"/>
    <w:rsid w:val="004A36FC"/>
    <w:rsid w:val="00570B91"/>
    <w:rsid w:val="005748E3"/>
    <w:rsid w:val="006641AD"/>
    <w:rsid w:val="0067023C"/>
    <w:rsid w:val="006F1233"/>
    <w:rsid w:val="00757B50"/>
    <w:rsid w:val="007A2B75"/>
    <w:rsid w:val="007C6AD6"/>
    <w:rsid w:val="007E7BBA"/>
    <w:rsid w:val="008A1543"/>
    <w:rsid w:val="008C6196"/>
    <w:rsid w:val="00905114"/>
    <w:rsid w:val="00945F5A"/>
    <w:rsid w:val="009762F5"/>
    <w:rsid w:val="009A6541"/>
    <w:rsid w:val="00A52536"/>
    <w:rsid w:val="00A96341"/>
    <w:rsid w:val="00AA16F6"/>
    <w:rsid w:val="00B813D5"/>
    <w:rsid w:val="00C3353D"/>
    <w:rsid w:val="00C4020C"/>
    <w:rsid w:val="00C41D60"/>
    <w:rsid w:val="00D275CB"/>
    <w:rsid w:val="00D3270C"/>
    <w:rsid w:val="00DA3C1B"/>
    <w:rsid w:val="00DF1379"/>
    <w:rsid w:val="00E55F4A"/>
    <w:rsid w:val="00E819E8"/>
    <w:rsid w:val="00F05B84"/>
    <w:rsid w:val="00F974D7"/>
    <w:rsid w:val="00FA642C"/>
    <w:rsid w:val="00FB4BBE"/>
    <w:rsid w:val="01DBA8C8"/>
    <w:rsid w:val="02FE12DD"/>
    <w:rsid w:val="0589A010"/>
    <w:rsid w:val="06ACC77E"/>
    <w:rsid w:val="081145DE"/>
    <w:rsid w:val="0BB2A9D9"/>
    <w:rsid w:val="0BF8E194"/>
    <w:rsid w:val="0F076C1A"/>
    <w:rsid w:val="14443AFC"/>
    <w:rsid w:val="15B74C87"/>
    <w:rsid w:val="16FA7099"/>
    <w:rsid w:val="1A11EE83"/>
    <w:rsid w:val="1A1C6BBF"/>
    <w:rsid w:val="1DF587AD"/>
    <w:rsid w:val="1EFCC7CA"/>
    <w:rsid w:val="1F450670"/>
    <w:rsid w:val="1FA9C737"/>
    <w:rsid w:val="1FE5BECB"/>
    <w:rsid w:val="203D41FD"/>
    <w:rsid w:val="20B9AF55"/>
    <w:rsid w:val="21C92405"/>
    <w:rsid w:val="22E167F9"/>
    <w:rsid w:val="232CA226"/>
    <w:rsid w:val="243EB2EF"/>
    <w:rsid w:val="24757727"/>
    <w:rsid w:val="26F3CC06"/>
    <w:rsid w:val="279B87A4"/>
    <w:rsid w:val="29067B29"/>
    <w:rsid w:val="29F04239"/>
    <w:rsid w:val="2A340FFB"/>
    <w:rsid w:val="2B2C049A"/>
    <w:rsid w:val="2BDC051E"/>
    <w:rsid w:val="2DE566EF"/>
    <w:rsid w:val="2E1AE45C"/>
    <w:rsid w:val="2E4F7A90"/>
    <w:rsid w:val="2FB0AA0C"/>
    <w:rsid w:val="317C6BA3"/>
    <w:rsid w:val="31E80FCA"/>
    <w:rsid w:val="32FF7949"/>
    <w:rsid w:val="34642A07"/>
    <w:rsid w:val="393E7F6C"/>
    <w:rsid w:val="396F0355"/>
    <w:rsid w:val="39DC9C1E"/>
    <w:rsid w:val="3A1EEC28"/>
    <w:rsid w:val="3AD42CA5"/>
    <w:rsid w:val="3AEAF603"/>
    <w:rsid w:val="3B04DBCB"/>
    <w:rsid w:val="3B60EECA"/>
    <w:rsid w:val="3DA86401"/>
    <w:rsid w:val="3E8DC219"/>
    <w:rsid w:val="4160A455"/>
    <w:rsid w:val="43AF6AB5"/>
    <w:rsid w:val="44339CD7"/>
    <w:rsid w:val="44EB23D0"/>
    <w:rsid w:val="45B199C8"/>
    <w:rsid w:val="466370DA"/>
    <w:rsid w:val="479F51EA"/>
    <w:rsid w:val="4A160119"/>
    <w:rsid w:val="4B4C3D6B"/>
    <w:rsid w:val="4B56E76F"/>
    <w:rsid w:val="4B8904B3"/>
    <w:rsid w:val="4EF03104"/>
    <w:rsid w:val="4FAA63CF"/>
    <w:rsid w:val="5074ADC9"/>
    <w:rsid w:val="50F8DFEB"/>
    <w:rsid w:val="512D0BD3"/>
    <w:rsid w:val="5205CA4B"/>
    <w:rsid w:val="526A8B12"/>
    <w:rsid w:val="54C49BE6"/>
    <w:rsid w:val="56007CF6"/>
    <w:rsid w:val="56154ED2"/>
    <w:rsid w:val="58780173"/>
    <w:rsid w:val="58CE7B74"/>
    <w:rsid w:val="5A3D1B82"/>
    <w:rsid w:val="5AC58F57"/>
    <w:rsid w:val="5AED1676"/>
    <w:rsid w:val="5D63816D"/>
    <w:rsid w:val="5DCDEDFA"/>
    <w:rsid w:val="5E37EFA9"/>
    <w:rsid w:val="5EBC21CB"/>
    <w:rsid w:val="60AEDDD1"/>
    <w:rsid w:val="6223C443"/>
    <w:rsid w:val="63243ED3"/>
    <w:rsid w:val="63CAD56B"/>
    <w:rsid w:val="6598B137"/>
    <w:rsid w:val="67157435"/>
    <w:rsid w:val="67B27121"/>
    <w:rsid w:val="683CC3A6"/>
    <w:rsid w:val="6A420475"/>
    <w:rsid w:val="6D607CDA"/>
    <w:rsid w:val="6D8CE3DF"/>
    <w:rsid w:val="6FFDDB25"/>
    <w:rsid w:val="71B514D3"/>
    <w:rsid w:val="71D168C1"/>
    <w:rsid w:val="739385AF"/>
    <w:rsid w:val="77470E5B"/>
    <w:rsid w:val="78A32F81"/>
    <w:rsid w:val="7BDAD043"/>
    <w:rsid w:val="7CB076FE"/>
    <w:rsid w:val="7D76A0A4"/>
    <w:rsid w:val="7DADA4BF"/>
    <w:rsid w:val="7E992A72"/>
    <w:rsid w:val="7F39D2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E9047"/>
  <w15:chartTrackingRefBased/>
  <w15:docId w15:val="{E1A574FF-63EE-44CB-90C2-83D78FD1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Default" w:customStyle="1">
    <w:name w:val="Default"/>
    <w:rsid w:val="00AA16F6"/>
    <w:pPr>
      <w:autoSpaceDE w:val="0"/>
      <w:autoSpaceDN w:val="0"/>
      <w:adjustRightInd w:val="0"/>
      <w:spacing w:after="0" w:line="240" w:lineRule="auto"/>
    </w:pPr>
    <w:rPr>
      <w:rFonts w:ascii="Calibri" w:hAnsi="Calibri" w:cs="Calibri"/>
      <w:color w:val="000000"/>
      <w:sz w:val="24"/>
      <w:szCs w:val="24"/>
    </w:rPr>
  </w:style>
  <w:style w:type="paragraph" w:styleId="Lijstalinea">
    <w:name w:val="List Paragraph"/>
    <w:basedOn w:val="Standaard"/>
    <w:uiPriority w:val="34"/>
    <w:qFormat/>
    <w:rsid w:val="00AA16F6"/>
    <w:pPr>
      <w:ind w:left="720"/>
      <w:contextualSpacing/>
    </w:pPr>
  </w:style>
  <w:style w:type="character" w:styleId="Hyperlink">
    <w:name w:val="Hyperlink"/>
    <w:basedOn w:val="Standaardalinea-lettertype"/>
    <w:uiPriority w:val="99"/>
    <w:unhideWhenUsed/>
    <w:rsid w:val="007C6AD6"/>
    <w:rPr>
      <w:color w:val="0563C1" w:themeColor="hyperlink"/>
      <w:u w:val="single"/>
    </w:rPr>
  </w:style>
  <w:style w:type="character" w:styleId="Onopgelostemelding">
    <w:name w:val="Unresolved Mention"/>
    <w:basedOn w:val="Standaardalinea-lettertype"/>
    <w:uiPriority w:val="99"/>
    <w:semiHidden/>
    <w:unhideWhenUsed/>
    <w:rsid w:val="007C6AD6"/>
    <w:rPr>
      <w:color w:val="605E5C"/>
      <w:shd w:val="clear" w:color="auto" w:fill="E1DFDD"/>
    </w:rPr>
  </w:style>
  <w:style w:type="paragraph" w:styleId="Koptekst">
    <w:name w:val="header"/>
    <w:basedOn w:val="Standaard"/>
    <w:link w:val="KoptekstChar"/>
    <w:uiPriority w:val="99"/>
    <w:unhideWhenUsed/>
    <w:rsid w:val="007A2B75"/>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7A2B75"/>
  </w:style>
  <w:style w:type="paragraph" w:styleId="Voettekst">
    <w:name w:val="footer"/>
    <w:basedOn w:val="Standaard"/>
    <w:link w:val="VoettekstChar"/>
    <w:uiPriority w:val="99"/>
    <w:unhideWhenUsed/>
    <w:rsid w:val="007A2B75"/>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7A2B75"/>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Verwijzingopmerking">
    <w:name w:val="annotation reference"/>
    <w:basedOn w:val="Standaardalinea-lettertype"/>
    <w:uiPriority w:val="99"/>
    <w:semiHidden/>
    <w:unhideWhenUsed/>
    <w:rsid w:val="00757B50"/>
    <w:rPr>
      <w:sz w:val="16"/>
      <w:szCs w:val="16"/>
    </w:rPr>
  </w:style>
  <w:style w:type="paragraph" w:styleId="Tekstopmerking">
    <w:name w:val="annotation text"/>
    <w:basedOn w:val="Standaard"/>
    <w:link w:val="TekstopmerkingChar"/>
    <w:uiPriority w:val="99"/>
    <w:unhideWhenUsed/>
    <w:rsid w:val="00757B50"/>
    <w:pPr>
      <w:spacing w:line="240" w:lineRule="auto"/>
    </w:pPr>
    <w:rPr>
      <w:sz w:val="20"/>
      <w:szCs w:val="20"/>
    </w:rPr>
  </w:style>
  <w:style w:type="character" w:styleId="TekstopmerkingChar" w:customStyle="1">
    <w:name w:val="Tekst opmerking Char"/>
    <w:basedOn w:val="Standaardalinea-lettertype"/>
    <w:link w:val="Tekstopmerking"/>
    <w:uiPriority w:val="99"/>
    <w:rsid w:val="00757B50"/>
    <w:rPr>
      <w:sz w:val="20"/>
      <w:szCs w:val="20"/>
    </w:rPr>
  </w:style>
  <w:style w:type="paragraph" w:styleId="Onderwerpvanopmerking">
    <w:name w:val="annotation subject"/>
    <w:basedOn w:val="Tekstopmerking"/>
    <w:next w:val="Tekstopmerking"/>
    <w:link w:val="OnderwerpvanopmerkingChar"/>
    <w:uiPriority w:val="99"/>
    <w:semiHidden/>
    <w:unhideWhenUsed/>
    <w:rsid w:val="00757B50"/>
    <w:rPr>
      <w:b/>
      <w:bCs/>
    </w:rPr>
  </w:style>
  <w:style w:type="character" w:styleId="OnderwerpvanopmerkingChar" w:customStyle="1">
    <w:name w:val="Onderwerp van opmerking Char"/>
    <w:basedOn w:val="TekstopmerkingChar"/>
    <w:link w:val="Onderwerpvanopmerking"/>
    <w:uiPriority w:val="99"/>
    <w:semiHidden/>
    <w:rsid w:val="00757B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4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5aadd58c17fd6e501c80f3aaa60b636b">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ed9ff03e0539023c86d083dab0db7acf"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D3453-D9C5-4D9D-BF01-C1FCAC58EC6F}">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1F16F7C9-FFAC-4D05-84A7-F2D3317F601F}">
  <ds:schemaRefs>
    <ds:schemaRef ds:uri="http://schemas.microsoft.com/sharepoint/v3/contenttype/forms"/>
  </ds:schemaRefs>
</ds:datastoreItem>
</file>

<file path=customXml/itemProps3.xml><?xml version="1.0" encoding="utf-8"?>
<ds:datastoreItem xmlns:ds="http://schemas.openxmlformats.org/officeDocument/2006/customXml" ds:itemID="{E93B6EC5-DBC9-4E0F-8431-36B2B5A51F51}">
  <ds:schemaRefs>
    <ds:schemaRef ds:uri="http://schemas.openxmlformats.org/officeDocument/2006/bibliography"/>
  </ds:schemaRefs>
</ds:datastoreItem>
</file>

<file path=customXml/itemProps4.xml><?xml version="1.0" encoding="utf-8"?>
<ds:datastoreItem xmlns:ds="http://schemas.openxmlformats.org/officeDocument/2006/customXml" ds:itemID="{78683458-9F24-458B-8047-BB1981B98C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Amélie Levie</dc:creator>
  <keywords/>
  <dc:description/>
  <lastModifiedBy>Malou VOSSAERT</lastModifiedBy>
  <revision>7</revision>
  <dcterms:created xsi:type="dcterms:W3CDTF">2024-03-12T11:21:00.0000000Z</dcterms:created>
  <dcterms:modified xsi:type="dcterms:W3CDTF">2025-12-02T14:44:28.0808390Z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