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3A0C" w14:textId="77777777" w:rsidR="00B747ED" w:rsidRPr="00FF76E8" w:rsidRDefault="00374E72" w:rsidP="00B747ED">
      <w:pPr>
        <w:pStyle w:val="Kop5"/>
        <w:rPr>
          <w:rFonts w:ascii="Century Gothic" w:hAnsi="Century Gothic"/>
          <w:color w:val="00A4B7" w:themeColor="accent1"/>
          <w:sz w:val="30"/>
          <w:szCs w:val="30"/>
        </w:rPr>
      </w:pPr>
      <w:r>
        <w:rPr>
          <w:rFonts w:ascii="Century Gothic" w:hAnsi="Century Gothic"/>
          <w:color w:val="00A4B7" w:themeColor="accent1"/>
          <w:sz w:val="30"/>
        </w:rPr>
        <w:t>KENNISGEVING VAN GUNNING VAN DE OPDRACHT - INSCHRIJVER VAN WIE DE OFFERTE ONREGELMATIG IS</w:t>
      </w:r>
    </w:p>
    <w:p w14:paraId="54369BE0" w14:textId="77777777" w:rsidR="00B747ED" w:rsidRPr="00B747ED" w:rsidRDefault="00B747ED" w:rsidP="00B747ED"/>
    <w:p w14:paraId="4E06BF15" w14:textId="77777777" w:rsidR="00B747ED" w:rsidRDefault="00B747ED" w:rsidP="00B747ED">
      <w:pPr>
        <w:jc w:val="right"/>
        <w:rPr>
          <w:rFonts w:ascii="Century Gothic" w:hAnsi="Century Gothic"/>
        </w:rPr>
      </w:pPr>
    </w:p>
    <w:p w14:paraId="73DD793E" w14:textId="77777777" w:rsidR="00B747ED" w:rsidRPr="00B63D15" w:rsidRDefault="00B747ED" w:rsidP="00B747ED">
      <w:pPr>
        <w:jc w:val="right"/>
        <w:rPr>
          <w:rFonts w:ascii="Century Gothic" w:hAnsi="Century Gothic"/>
          <w:color w:val="00A4B7" w:themeColor="accent1"/>
        </w:rPr>
      </w:pPr>
      <w:r>
        <w:rPr>
          <w:rFonts w:ascii="Century Gothic" w:hAnsi="Century Gothic"/>
        </w:rPr>
        <w:t xml:space="preserve">Brussel, </w:t>
      </w:r>
      <w:r>
        <w:rPr>
          <w:rFonts w:ascii="Century Gothic" w:hAnsi="Century Gothic"/>
          <w:b/>
          <w:i/>
          <w:color w:val="00A4B7" w:themeColor="accent1"/>
        </w:rPr>
        <w:t>(dag, maand, jaar)</w:t>
      </w:r>
    </w:p>
    <w:p w14:paraId="12813FF4" w14:textId="77777777" w:rsidR="00B747ED" w:rsidRPr="00490A58" w:rsidRDefault="00B747ED" w:rsidP="00B747ED">
      <w:pPr>
        <w:jc w:val="both"/>
        <w:rPr>
          <w:rFonts w:ascii="Century Gothic" w:hAnsi="Century Gothic"/>
        </w:rPr>
      </w:pPr>
      <w:r>
        <w:rPr>
          <w:rFonts w:ascii="Century Gothic" w:hAnsi="Century Gothic"/>
        </w:rPr>
        <w:t>PER FAX OF E-MAIL</w:t>
      </w:r>
    </w:p>
    <w:p w14:paraId="037F3402"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41FAE554" w14:textId="77777777" w:rsidR="00B747ED" w:rsidRPr="00490A58" w:rsidRDefault="00B747ED" w:rsidP="00B747ED">
      <w:pPr>
        <w:jc w:val="both"/>
        <w:rPr>
          <w:rFonts w:ascii="Century Gothic" w:hAnsi="Century Gothic"/>
        </w:rPr>
      </w:pPr>
    </w:p>
    <w:p w14:paraId="513C8E9F" w14:textId="77777777" w:rsidR="00B747ED" w:rsidRPr="00490A58" w:rsidRDefault="00B747ED" w:rsidP="00B747ED">
      <w:pPr>
        <w:jc w:val="both"/>
        <w:rPr>
          <w:rFonts w:ascii="Century Gothic" w:hAnsi="Century Gothic"/>
        </w:rPr>
      </w:pPr>
    </w:p>
    <w:p w14:paraId="1B385211"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5AB103A8" w14:textId="77777777" w:rsidR="00B747ED" w:rsidRPr="00490A58" w:rsidRDefault="00B747ED" w:rsidP="00B747ED">
      <w:pPr>
        <w:jc w:val="both"/>
        <w:rPr>
          <w:rFonts w:ascii="Century Gothic" w:hAnsi="Century Gothic"/>
        </w:rPr>
      </w:pPr>
    </w:p>
    <w:p w14:paraId="53E627AF" w14:textId="77777777" w:rsidR="00B747ED" w:rsidRPr="002D0138" w:rsidRDefault="00B747ED" w:rsidP="00B747ED">
      <w:pPr>
        <w:jc w:val="both"/>
        <w:rPr>
          <w:rFonts w:ascii="Century Gothic" w:hAnsi="Century Gothic"/>
        </w:rPr>
      </w:pPr>
    </w:p>
    <w:p w14:paraId="74135C00" w14:textId="77777777" w:rsidR="00FF76E8" w:rsidRPr="00C12410" w:rsidRDefault="00B747ED" w:rsidP="00FF76E8">
      <w:pPr>
        <w:ind w:left="851" w:hanging="851"/>
        <w:rPr>
          <w:rFonts w:eastAsia="Times New Roman" w:cs="Times New Roman"/>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offertes)</w:t>
      </w:r>
    </w:p>
    <w:p w14:paraId="15F1FB91" w14:textId="77777777" w:rsidR="00A06D50" w:rsidRPr="00C12410" w:rsidRDefault="00A06D50" w:rsidP="00A06D50">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 xml:space="preserve">(een 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6B2FA3C7" w14:textId="77777777" w:rsidR="00FF76E8" w:rsidRPr="00C12410" w:rsidRDefault="00FF76E8" w:rsidP="00FF76E8">
      <w:pPr>
        <w:ind w:left="851"/>
        <w:jc w:val="both"/>
        <w:rPr>
          <w:rFonts w:ascii="Century Gothic" w:eastAsia="Times New Roman" w:hAnsi="Century Gothic" w:cs="Times New Roman"/>
        </w:rPr>
      </w:pPr>
      <w:r>
        <w:rPr>
          <w:rFonts w:ascii="Century Gothic" w:hAnsi="Century Gothic"/>
        </w:rPr>
        <w:t xml:space="preserve">Bouwwerknr. </w:t>
      </w:r>
      <w:r>
        <w:rPr>
          <w:rFonts w:ascii="Century Gothic" w:hAnsi="Century Gothic"/>
          <w:b/>
          <w:i/>
          <w:color w:val="00A4B7" w:themeColor="accent1"/>
        </w:rPr>
        <w:t>(bouwwerknummer)</w:t>
      </w:r>
    </w:p>
    <w:p w14:paraId="2CE5A019" w14:textId="1DAAE7DB" w:rsidR="00B747ED" w:rsidRPr="00490A58" w:rsidRDefault="00B747ED" w:rsidP="00FF76E8">
      <w:pPr>
        <w:ind w:left="851" w:hanging="851"/>
        <w:rPr>
          <w:rFonts w:ascii="Century Gothic" w:hAnsi="Century Gothic"/>
        </w:rPr>
      </w:pPr>
    </w:p>
    <w:p w14:paraId="003B9D34" w14:textId="77777777" w:rsidR="00B747ED" w:rsidRPr="00490A58" w:rsidRDefault="00B747ED" w:rsidP="00B747ED">
      <w:pPr>
        <w:jc w:val="both"/>
        <w:rPr>
          <w:rFonts w:ascii="Century Gothic" w:hAnsi="Century Gothic"/>
        </w:rPr>
      </w:pPr>
    </w:p>
    <w:p w14:paraId="0A0A7743" w14:textId="6E761DE1" w:rsidR="0020045D" w:rsidRPr="0099601F" w:rsidRDefault="0020045D" w:rsidP="0020045D">
      <w:pPr>
        <w:jc w:val="both"/>
        <w:rPr>
          <w:rFonts w:ascii="Century Gothic" w:hAnsi="Century Gothic"/>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Century Gothic" w:hAnsi="Century Gothic"/>
        </w:rPr>
        <w:t xml:space="preserve">Tot onze spijt moeten wij u meedelen dat </w:t>
      </w:r>
      <w:r>
        <w:rPr>
          <w:rFonts w:ascii="Century Gothic" w:hAnsi="Century Gothic"/>
          <w:b/>
          <w:i/>
          <w:color w:val="00A4B7" w:themeColor="accent1"/>
        </w:rPr>
        <w:t>(kies, afhankelijk van het toezicht:</w:t>
      </w:r>
      <w:r>
        <w:rPr>
          <w:rFonts w:ascii="Century Gothic" w:hAnsi="Century Gothic"/>
        </w:rPr>
        <w:t xml:space="preserve"> </w:t>
      </w:r>
      <w:r>
        <w:rPr>
          <w:rFonts w:ascii="Century Gothic" w:hAnsi="Century Gothic"/>
          <w:b/>
          <w:i/>
          <w:color w:val="00A4B7" w:themeColor="accent1"/>
        </w:rPr>
        <w:t>(x) de BGHM onze beslissing heeft goedgekeurd OF (x) onze Raad van Bestuur heeft beslist)</w:t>
      </w:r>
      <w:r>
        <w:rPr>
          <w:rFonts w:ascii="Century Gothic" w:hAnsi="Century Gothic"/>
        </w:rPr>
        <w:t xml:space="preserve"> om uw offerte in het kader van bovenvermelde opdracht onregelmatig te verklaren. </w:t>
      </w:r>
    </w:p>
    <w:p w14:paraId="4E8DEEA0" w14:textId="77777777" w:rsidR="0020045D" w:rsidRPr="0099601F" w:rsidRDefault="0020045D" w:rsidP="0020045D">
      <w:pPr>
        <w:jc w:val="both"/>
        <w:rPr>
          <w:rFonts w:ascii="Century Gothic" w:hAnsi="Century Gothic"/>
        </w:rPr>
      </w:pPr>
    </w:p>
    <w:p w14:paraId="36085B90" w14:textId="77777777" w:rsidR="0020045D" w:rsidRPr="0099601F" w:rsidRDefault="0020045D" w:rsidP="0020045D">
      <w:pPr>
        <w:jc w:val="both"/>
        <w:rPr>
          <w:rFonts w:ascii="Century Gothic" w:hAnsi="Century Gothic"/>
        </w:rPr>
      </w:pPr>
      <w:r>
        <w:rPr>
          <w:rFonts w:ascii="Century Gothic" w:hAnsi="Century Gothic"/>
        </w:rPr>
        <w:t>Als bijlage vindt u een uittreksel uit de gunningsbeslissing met betrekking tot de redenen voor uw uitsluiting.</w:t>
      </w:r>
    </w:p>
    <w:p w14:paraId="79AD7FFF" w14:textId="77777777" w:rsidR="0020045D" w:rsidRPr="0099601F" w:rsidRDefault="0020045D" w:rsidP="0020045D">
      <w:pPr>
        <w:jc w:val="both"/>
        <w:rPr>
          <w:rFonts w:ascii="Century Gothic" w:hAnsi="Century Gothic"/>
        </w:rPr>
      </w:pPr>
    </w:p>
    <w:p w14:paraId="10144DEE" w14:textId="6BDED18F" w:rsidR="0020045D" w:rsidRPr="00FF76E8" w:rsidRDefault="0020045D" w:rsidP="0020045D">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Pr>
          <w:rFonts w:ascii="Century Gothic" w:hAnsi="Century Gothic"/>
          <w:b/>
          <w:i/>
          <w:color w:val="00A4B7" w:themeColor="accent1"/>
        </w:rPr>
        <w:t>Toe te voegen indien de “</w:t>
      </w:r>
      <w:proofErr w:type="spellStart"/>
      <w:r>
        <w:rPr>
          <w:rFonts w:ascii="Century Gothic" w:hAnsi="Century Gothic"/>
          <w:b/>
          <w:i/>
          <w:color w:val="00A4B7" w:themeColor="accent1"/>
        </w:rPr>
        <w:t>standstillperiode</w:t>
      </w:r>
      <w:proofErr w:type="spellEnd"/>
      <w:r>
        <w:rPr>
          <w:rFonts w:ascii="Century Gothic" w:hAnsi="Century Gothic"/>
          <w:b/>
          <w:i/>
          <w:color w:val="00A4B7" w:themeColor="accent1"/>
        </w:rPr>
        <w:t xml:space="preserve">” van toepassing is (bekijk </w:t>
      </w:r>
      <w:hyperlink r:id="rId11" w:history="1">
        <w:r>
          <w:rPr>
            <w:rStyle w:val="Hyperlink"/>
            <w:rFonts w:ascii="Century Gothic" w:hAnsi="Century Gothic"/>
            <w:b/>
            <w:i/>
          </w:rPr>
          <w:t>hier</w:t>
        </w:r>
      </w:hyperlink>
      <w:r>
        <w:rPr>
          <w:rFonts w:ascii="Century Gothic" w:hAnsi="Century Gothic"/>
          <w:b/>
          <w:i/>
          <w:color w:val="00A4B7" w:themeColor="accent1"/>
        </w:rPr>
        <w:t xml:space="preserve"> het bedrag in de tabel met de drempel</w:t>
      </w:r>
      <w:r w:rsidR="00B61D55">
        <w:rPr>
          <w:rFonts w:ascii="Century Gothic" w:hAnsi="Century Gothic"/>
          <w:b/>
          <w:i/>
          <w:color w:val="00A4B7" w:themeColor="accent1"/>
        </w:rPr>
        <w:t>bedragen</w:t>
      </w:r>
      <w:r>
        <w:rPr>
          <w:rFonts w:ascii="Century Gothic" w:hAnsi="Century Gothic"/>
          <w:b/>
          <w:i/>
          <w:color w:val="00A4B7" w:themeColor="accent1"/>
        </w:rPr>
        <w:t>):</w:t>
      </w:r>
    </w:p>
    <w:p w14:paraId="75FE5356" w14:textId="77777777" w:rsidR="0020045D" w:rsidRPr="0099601F" w:rsidRDefault="0020045D" w:rsidP="0020045D">
      <w:pPr>
        <w:pBdr>
          <w:top w:val="single" w:sz="4" w:space="1" w:color="auto"/>
          <w:left w:val="single" w:sz="4" w:space="4" w:color="auto"/>
          <w:bottom w:val="single" w:sz="4" w:space="1" w:color="auto"/>
          <w:right w:val="single" w:sz="4" w:space="4" w:color="auto"/>
        </w:pBdr>
        <w:jc w:val="both"/>
        <w:rPr>
          <w:rFonts w:ascii="Century Gothic" w:hAnsi="Century Gothic"/>
        </w:rPr>
      </w:pPr>
    </w:p>
    <w:p w14:paraId="38D00D11" w14:textId="77777777" w:rsidR="0020045D" w:rsidRPr="0099601F" w:rsidRDefault="0020045D" w:rsidP="0020045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Overeenkomstig artikel 11 van de wet van 17 juni 2013 betreffende de motivering, de informatie en de rechtsmiddelen inzake overheidsopdrachten en bepaalde opdrachten voor werken, leveringen en diensten wordt er, vóór het sluiten van de opdracht, een wachttijd van vijftien dagen toegekend, te rekenen vanaf de dag na de verzending van onderhavige kennisgeving.</w:t>
      </w:r>
    </w:p>
    <w:p w14:paraId="209224B6" w14:textId="77777777" w:rsidR="0020045D" w:rsidRPr="0099601F" w:rsidRDefault="0020045D" w:rsidP="0020045D">
      <w:pPr>
        <w:pBdr>
          <w:top w:val="single" w:sz="4" w:space="1" w:color="auto"/>
          <w:left w:val="single" w:sz="4" w:space="4" w:color="auto"/>
          <w:bottom w:val="single" w:sz="4" w:space="1" w:color="auto"/>
          <w:right w:val="single" w:sz="4" w:space="4" w:color="auto"/>
        </w:pBdr>
        <w:jc w:val="both"/>
        <w:rPr>
          <w:rFonts w:ascii="Century Gothic" w:hAnsi="Century Gothic"/>
        </w:rPr>
      </w:pPr>
    </w:p>
    <w:p w14:paraId="2197244C" w14:textId="410A8308" w:rsidR="0020045D" w:rsidRPr="0099601F" w:rsidRDefault="0020045D" w:rsidP="0020045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Tijdens die termijn kan er bij de Hoven en Rechtbanken van Brussel een vordering tot schorsing van de tenuitvoerlegging van de gunningsbeslissing worden ingediend. Ingeval u een dergelijke vordering zou indienen, verzoeken wij u ons daarvan in kennis te stellen, per fax op het</w:t>
      </w:r>
      <w:r w:rsidR="00B61D55">
        <w:rPr>
          <w:rFonts w:ascii="Century Gothic" w:hAnsi="Century Gothic"/>
        </w:rPr>
        <w:t xml:space="preserve"> nr. </w:t>
      </w:r>
      <w:r>
        <w:rPr>
          <w:rFonts w:ascii="Century Gothic" w:hAnsi="Century Gothic"/>
          <w:b/>
          <w:i/>
          <w:iCs/>
          <w:color w:val="3E5B7B"/>
        </w:rPr>
        <w:t>[faxnummer van de OVM]</w:t>
      </w:r>
      <w:r>
        <w:rPr>
          <w:rFonts w:ascii="Century Gothic" w:hAnsi="Century Gothic"/>
        </w:rPr>
        <w:t xml:space="preserve"> of per e-mail via het volgende adres: </w:t>
      </w:r>
      <w:r>
        <w:rPr>
          <w:rFonts w:ascii="Century Gothic" w:hAnsi="Century Gothic"/>
          <w:b/>
          <w:i/>
          <w:color w:val="3E5B7B"/>
        </w:rPr>
        <w:t>[e-mailadres van de OVM]</w:t>
      </w:r>
      <w:r>
        <w:rPr>
          <w:rFonts w:ascii="Century Gothic" w:hAnsi="Century Gothic"/>
          <w:b/>
          <w:color w:val="3E5B7B"/>
        </w:rPr>
        <w:t> </w:t>
      </w:r>
      <w:r>
        <w:rPr>
          <w:rFonts w:ascii="Century Gothic" w:hAnsi="Century Gothic"/>
        </w:rPr>
        <w:t>of, desgevallend, door gebruik te maken van de elektronische platformen bedoeld in artikel 14 § 7, van de wet inzake overheidsopdrachten.</w:t>
      </w:r>
    </w:p>
    <w:p w14:paraId="3E584AB5" w14:textId="77777777" w:rsidR="0020045D" w:rsidRPr="0099601F" w:rsidRDefault="0020045D" w:rsidP="0020045D">
      <w:pPr>
        <w:pBdr>
          <w:top w:val="single" w:sz="4" w:space="1" w:color="auto"/>
          <w:left w:val="single" w:sz="4" w:space="4" w:color="auto"/>
          <w:bottom w:val="single" w:sz="4" w:space="1" w:color="auto"/>
          <w:right w:val="single" w:sz="4" w:space="4" w:color="auto"/>
        </w:pBdr>
        <w:jc w:val="both"/>
        <w:rPr>
          <w:rFonts w:ascii="Century Gothic" w:hAnsi="Century Gothic"/>
        </w:rPr>
      </w:pPr>
    </w:p>
    <w:p w14:paraId="5C36C616" w14:textId="77777777" w:rsidR="0020045D" w:rsidRPr="0099601F" w:rsidRDefault="0020045D" w:rsidP="0020045D">
      <w:pPr>
        <w:jc w:val="both"/>
        <w:rPr>
          <w:rFonts w:ascii="Century Gothic" w:hAnsi="Century Gothic"/>
        </w:rPr>
      </w:pPr>
    </w:p>
    <w:p w14:paraId="3C5A2D02" w14:textId="77777777" w:rsidR="0020045D" w:rsidRPr="0099601F" w:rsidRDefault="0020045D" w:rsidP="0020045D">
      <w:pPr>
        <w:jc w:val="both"/>
        <w:rPr>
          <w:rFonts w:ascii="Century Gothic" w:hAnsi="Century Gothic"/>
        </w:rPr>
      </w:pPr>
    </w:p>
    <w:p w14:paraId="6A7D7898" w14:textId="77777777" w:rsidR="0020045D" w:rsidRPr="0099601F" w:rsidRDefault="0020045D" w:rsidP="00B61D55">
      <w:pPr>
        <w:jc w:val="center"/>
        <w:rPr>
          <w:rFonts w:ascii="Century Gothic" w:hAnsi="Century Gothic"/>
        </w:rPr>
      </w:pPr>
      <w:r>
        <w:rPr>
          <w:rFonts w:ascii="Century Gothic" w:hAnsi="Century Gothic"/>
        </w:rPr>
        <w:t>Met hoogachting,</w:t>
      </w:r>
    </w:p>
    <w:p w14:paraId="6A885B5F" w14:textId="77777777" w:rsidR="0020045D" w:rsidRPr="0099601F" w:rsidRDefault="0020045D" w:rsidP="0020045D">
      <w:pPr>
        <w:jc w:val="both"/>
        <w:rPr>
          <w:rFonts w:ascii="Century Gothic" w:hAnsi="Century Gothic"/>
        </w:rPr>
      </w:pPr>
    </w:p>
    <w:p w14:paraId="0C264AE5" w14:textId="77777777" w:rsidR="0020045D" w:rsidRPr="0099601F" w:rsidRDefault="0020045D" w:rsidP="0020045D">
      <w:pPr>
        <w:jc w:val="both"/>
        <w:rPr>
          <w:rFonts w:ascii="Century Gothic" w:hAnsi="Century Gothic"/>
        </w:rPr>
      </w:pPr>
    </w:p>
    <w:p w14:paraId="3413DE93" w14:textId="77777777" w:rsidR="0020045D" w:rsidRPr="0099601F" w:rsidRDefault="0020045D" w:rsidP="0020045D">
      <w:pPr>
        <w:jc w:val="both"/>
        <w:rPr>
          <w:rFonts w:ascii="Century Gothic" w:hAnsi="Century Gothic"/>
          <w:u w:val="single"/>
        </w:rPr>
      </w:pPr>
    </w:p>
    <w:p w14:paraId="794E8DC2" w14:textId="77777777" w:rsidR="0020045D" w:rsidRPr="0099601F" w:rsidRDefault="0020045D" w:rsidP="0020045D">
      <w:pPr>
        <w:jc w:val="both"/>
        <w:rPr>
          <w:rFonts w:ascii="Century Gothic" w:hAnsi="Century Gothic"/>
          <w:u w:val="single"/>
        </w:rPr>
      </w:pPr>
    </w:p>
    <w:p w14:paraId="55A13BF1" w14:textId="77777777" w:rsidR="0020045D" w:rsidRPr="0099601F" w:rsidRDefault="0020045D" w:rsidP="0020045D">
      <w:pPr>
        <w:jc w:val="both"/>
        <w:rPr>
          <w:rFonts w:ascii="Century Gothic" w:hAnsi="Century Gothic"/>
          <w:u w:val="single"/>
        </w:rPr>
      </w:pPr>
    </w:p>
    <w:p w14:paraId="25857F1E" w14:textId="35526A9A" w:rsidR="0020045D" w:rsidRPr="0099601F" w:rsidRDefault="0020045D" w:rsidP="0020045D">
      <w:pPr>
        <w:jc w:val="both"/>
        <w:rPr>
          <w:rFonts w:ascii="Century Gothic" w:hAnsi="Century Gothic"/>
        </w:rPr>
      </w:pPr>
      <w:r>
        <w:rPr>
          <w:rFonts w:ascii="Century Gothic" w:hAnsi="Century Gothic"/>
          <w:u w:val="single"/>
        </w:rPr>
        <w:lastRenderedPageBreak/>
        <w:t>Bijlage</w:t>
      </w:r>
      <w:r>
        <w:rPr>
          <w:rFonts w:ascii="Century Gothic" w:hAnsi="Century Gothic"/>
        </w:rPr>
        <w:t xml:space="preserve">: Uittreksel uit de gunningsbeslissing met betrekking tot de onregelmatigheid van de offerte van de inschrijver  </w:t>
      </w:r>
      <w:r>
        <w:rPr>
          <w:rFonts w:ascii="Century Gothic" w:hAnsi="Century Gothic"/>
          <w:b/>
          <w:i/>
          <w:color w:val="00A4B7" w:themeColor="accent1"/>
        </w:rPr>
        <w:t>(raadpleeg de nota op Artemis voor meer informatie:</w:t>
      </w:r>
      <w:r>
        <w:rPr>
          <w:rFonts w:ascii="Century Gothic" w:hAnsi="Century Gothic"/>
        </w:rPr>
        <w:t xml:space="preserve"> </w:t>
      </w:r>
      <w:hyperlink r:id="rId12" w:history="1">
        <w:r>
          <w:rPr>
            <w:rStyle w:val="Hyperlink"/>
            <w:rFonts w:ascii="Century Gothic" w:hAnsi="Century Gothic"/>
          </w:rPr>
          <w:t>Informatienota aan de inschrijvers NL.docx</w:t>
        </w:r>
      </w:hyperlink>
      <w:r>
        <w:rPr>
          <w:rFonts w:ascii="Century Gothic" w:hAnsi="Century Gothic"/>
          <w:b/>
          <w:i/>
          <w:color w:val="00A4B7" w:themeColor="accent1"/>
        </w:rPr>
        <w:t>)</w:t>
      </w:r>
      <w:r>
        <w:rPr>
          <w:rFonts w:ascii="Century Gothic" w:hAnsi="Century Gothic"/>
        </w:rPr>
        <w:t>.</w:t>
      </w:r>
    </w:p>
    <w:p w14:paraId="0D6A7153" w14:textId="77777777" w:rsidR="00374E72" w:rsidRPr="006A3E33" w:rsidRDefault="00374E72" w:rsidP="00374E72">
      <w:pPr>
        <w:rPr>
          <w:rFonts w:ascii="Century Gothic" w:hAnsi="Century Gothic"/>
          <w:b/>
          <w:sz w:val="32"/>
          <w:szCs w:val="32"/>
        </w:rPr>
      </w:pPr>
      <w:r>
        <w:br w:type="page"/>
      </w:r>
    </w:p>
    <w:p w14:paraId="478A454F" w14:textId="77777777" w:rsidR="00AA30B8" w:rsidRDefault="00AA30B8" w:rsidP="00DA6050">
      <w:pPr>
        <w:jc w:val="both"/>
        <w:rPr>
          <w:rFonts w:ascii="Century Gothic" w:hAnsi="Century Gothic"/>
          <w:b/>
          <w:sz w:val="18"/>
          <w:szCs w:val="18"/>
        </w:rPr>
        <w:sectPr w:rsidR="00AA30B8">
          <w:footerReference w:type="default" r:id="rId13"/>
          <w:pgSz w:w="11906" w:h="16838"/>
          <w:pgMar w:top="1417" w:right="1417" w:bottom="1417" w:left="1417" w:header="708" w:footer="708" w:gutter="0"/>
          <w:cols w:space="708"/>
          <w:docGrid w:linePitch="360"/>
        </w:sectPr>
      </w:pPr>
    </w:p>
    <w:p w14:paraId="1E91BE78" w14:textId="141FE265" w:rsidR="00374E72" w:rsidRPr="00061F1F" w:rsidRDefault="0072534E" w:rsidP="00DA6050">
      <w:pPr>
        <w:jc w:val="both"/>
        <w:rPr>
          <w:rFonts w:ascii="Century Gothic" w:hAnsi="Century Gothic"/>
          <w:b/>
          <w:sz w:val="15"/>
          <w:szCs w:val="15"/>
        </w:rPr>
      </w:pPr>
      <w:r>
        <w:rPr>
          <w:rFonts w:ascii="Century Gothic" w:hAnsi="Century Gothic"/>
          <w:b/>
          <w:sz w:val="15"/>
          <w:szCs w:val="15"/>
        </w:rPr>
        <w:lastRenderedPageBreak/>
        <w:t>VERHAALPROCEDURES:</w:t>
      </w:r>
    </w:p>
    <w:p w14:paraId="5844C21B"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Uittreksels uit de wet van 17 juni 2013 betreffende de motivering, de informatie en de rechtsmiddelen inzake overheidsopdrachten, bepaalde opdrachten voor werken, leveringen en diensten en concessies:</w:t>
      </w:r>
    </w:p>
    <w:p w14:paraId="60D76EB5" w14:textId="7848EE8D" w:rsidR="00DA6050" w:rsidRPr="00061F1F" w:rsidRDefault="0072534E" w:rsidP="00DA6050">
      <w:pPr>
        <w:jc w:val="both"/>
        <w:rPr>
          <w:rFonts w:ascii="Century Gothic" w:hAnsi="Century Gothic"/>
          <w:b/>
          <w:sz w:val="15"/>
          <w:szCs w:val="15"/>
        </w:rPr>
      </w:pPr>
      <w:r>
        <w:rPr>
          <w:rFonts w:ascii="Century Gothic" w:hAnsi="Century Gothic"/>
          <w:b/>
          <w:sz w:val="15"/>
          <w:szCs w:val="15"/>
        </w:rPr>
        <w:t>Vernietigi</w:t>
      </w:r>
      <w:r w:rsidR="008E6E61">
        <w:rPr>
          <w:rFonts w:ascii="Century Gothic" w:hAnsi="Century Gothic"/>
          <w:b/>
          <w:sz w:val="15"/>
          <w:szCs w:val="15"/>
        </w:rPr>
        <w:t>n</w:t>
      </w:r>
      <w:r>
        <w:rPr>
          <w:rFonts w:ascii="Century Gothic" w:hAnsi="Century Gothic"/>
          <w:b/>
          <w:sz w:val="15"/>
          <w:szCs w:val="15"/>
        </w:rPr>
        <w:t xml:space="preserve">g </w:t>
      </w:r>
    </w:p>
    <w:p w14:paraId="43BEFAFB"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Art. 14. Op verzoek van elke persoon die een belang heeft of heeft gehad om een bepaalde opdracht of concessie te krijgen en die door de beweerde schending is of dreigt te worden benadeeld, kan de verhaalinstantie de beslissingen van de aanbestedende instanties vernietigen, waaronder die welke berusten op discriminerende technische, economische en financiële specificaties, omdat deze beslissingen een machtsafwending inhouden of een inbreuk vormen op :</w:t>
      </w:r>
    </w:p>
    <w:p w14:paraId="10AF583C"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1° het op de betreffende opdracht of concessie toepasselijke recht van de Europese Unie inzake overheidsopdrachten of concessies, alsook de wetgeving overheidsopdrachten of concessies;</w:t>
      </w:r>
    </w:p>
    <w:p w14:paraId="31D8C299"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2° de grondwettelijke, wettelijke of reglementaire bepalingen, alsook de algemene rechtsbeginselen die op de betreffende opdracht of concessie van toepassing zijn;</w:t>
      </w:r>
    </w:p>
    <w:p w14:paraId="63AE4863"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3° de opdracht- of concessiedocumenten.</w:t>
      </w:r>
    </w:p>
    <w:p w14:paraId="301BF1E1" w14:textId="1126916D" w:rsidR="00DA6050" w:rsidRPr="00061F1F" w:rsidRDefault="0072534E" w:rsidP="00DA6050">
      <w:pPr>
        <w:jc w:val="both"/>
        <w:rPr>
          <w:rFonts w:ascii="Century Gothic" w:hAnsi="Century Gothic"/>
          <w:b/>
          <w:sz w:val="15"/>
          <w:szCs w:val="15"/>
        </w:rPr>
      </w:pPr>
      <w:r>
        <w:rPr>
          <w:rFonts w:ascii="Century Gothic" w:hAnsi="Century Gothic"/>
          <w:b/>
          <w:sz w:val="15"/>
          <w:szCs w:val="15"/>
        </w:rPr>
        <w:t xml:space="preserve">Schorsing </w:t>
      </w:r>
    </w:p>
    <w:p w14:paraId="3B1B1E81"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Art. 15. Onder dezelfde voorwaarden als die bedoeld in artikel 14 en zonder dat het bewijs van spoedeisendheid is vereist, kan de verhaalinstantie, in aanwezigheid van een ernstig middel of een klaarblijkelijke onwettigheid, eventueel op straffe van een dwangsom, de uitvoering van de in artikel 14 bedoelde beslissingen schorsen en, wat betreft de Raad van State, zolang het vernietigingsberoep bij hem aanhangig is :</w:t>
      </w:r>
    </w:p>
    <w:p w14:paraId="1A6E0592"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1° de voorlopige maatregelen bevelen om de beweerde schending ongedaan te maken of te voorkomen dat de betrokken belangen worden geschaad;</w:t>
      </w:r>
    </w:p>
    <w:p w14:paraId="09D86931"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2° de voorlopige maatregelen bevelen die noodzakelijk zijn voor de uitvoering van haar uitspraak.</w:t>
      </w:r>
    </w:p>
    <w:p w14:paraId="4E48244A"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Naargelang de bevoegde verhaalinstantie overeenkomstig artikel 24, worden de vordering tot schorsing en de vordering tot voorlopige maatregelen ingediend uitsluitend volgens een procedure bij uiterst dringende noodzakelijkheid voor de Raad van State, dan wel uitsluitend in kort geding voor de gewone rechter.</w:t>
      </w:r>
    </w:p>
    <w:p w14:paraId="40A4FA28"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De verhaalinstantie kan, ambtshalve of op verzoek van één van de partijen, rekening houden met de vermoedelijke gevolgen van de schorsing van de uitvoering en van de voorlopige maatregelen voor alle belangen die kunnen worden geschaad, alsook met het openbaar belang, en kan beslissen om de schorsing van de uitvoering of de voorlopige maatregelen niet toe te staan wanneer de negatieve gevolgen ervan groter zouden zijn dan de voordelen ervan.</w:t>
      </w:r>
    </w:p>
    <w:p w14:paraId="141DB11E"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De beslissing om de schorsing van de uitvoering of de voorlopige maatregelen niet toe te staan, doet geen afbreuk aan de andere door de indiener ingeroepen rechten.</w:t>
      </w:r>
    </w:p>
    <w:p w14:paraId="5220848B"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De vordering tot voorlopige maatregelen kan samen met de in het eerste lid bedoelde vordering tot schorsing of, wanneer de schorsing van de uitvoering van de beslissing wordt bevolen, samen met de in artikel 14 bedoelde vordering tot nietigverklaring of afzonderlijk worden ingediend.</w:t>
      </w:r>
    </w:p>
    <w:p w14:paraId="4489AEA0" w14:textId="77777777" w:rsidR="00DA6050" w:rsidRPr="00061F1F" w:rsidRDefault="00DA6050" w:rsidP="00DA6050">
      <w:pPr>
        <w:jc w:val="both"/>
        <w:rPr>
          <w:rFonts w:ascii="Century Gothic" w:hAnsi="Century Gothic"/>
          <w:b/>
          <w:sz w:val="15"/>
          <w:szCs w:val="15"/>
        </w:rPr>
      </w:pPr>
      <w:r w:rsidRPr="00061F1F">
        <w:rPr>
          <w:rFonts w:ascii="Century Gothic" w:hAnsi="Century Gothic"/>
          <w:b/>
          <w:sz w:val="15"/>
          <w:szCs w:val="15"/>
        </w:rPr>
        <w:t>Verhaaltermijnen</w:t>
      </w:r>
    </w:p>
    <w:p w14:paraId="70FCF9B4"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Art. 23. §1. De verhaalprocedures worden, op straffe van niet-ontvankelijkheid, ingesteld binnen de in de §§ 2 tot 4, 5, eerste lid, en 6, bedoelde termijnen vanaf de bekendmaking, de kennisgeving of de kennisneming van de rechtshandeling, al naargelang.</w:t>
      </w:r>
    </w:p>
    <w:p w14:paraId="34045678"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Wanneer deze wet een mededelingsplicht oplegt, in geval van niet-gelijktijdige zendingen, beginnen de </w:t>
      </w:r>
      <w:r w:rsidRPr="00061F1F">
        <w:rPr>
          <w:rFonts w:ascii="Century Gothic" w:hAnsi="Century Gothic"/>
          <w:sz w:val="15"/>
          <w:szCs w:val="15"/>
        </w:rPr>
        <w:t>termijnen te lopen vanaf de dag van de laatste verzending. In elk geval beginnen de termijnen maar te lopen voor zover de motivering is meegedeeld.</w:t>
      </w:r>
    </w:p>
    <w:p w14:paraId="2575F89C"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 2. Het in artikel 14 bedoelde verhaal tot vernietiging wordt ingesteld binnen een termijn van zestig dagen, onverminderd artikel 9/1, § 2, tweede lid.</w:t>
      </w:r>
    </w:p>
    <w:p w14:paraId="39CF494C"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 3. De in artikel 15 bedoelde vordering tot schorsing wordt ingediend binnen een termijn van vijftien dagen. Ingeval toepassing wordt gemaakt van artikel 18 bedraagt de termijn tien dagen.</w:t>
      </w:r>
    </w:p>
    <w:p w14:paraId="603BAD2B"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 4. Onverminderd de bepalingen die van toepassing zijn op de schadevergoeding tot herstel bedoeld in artikel 11bis van de wetten op de Raad van State, gecoördineerd op 12 januari 1973, worden het verhaal tot schadevergoeding en de vordering tot forfaitaire schadevergoeding, bedoeld in artikel 16, ingesteld binnen een termijn van vijf jaar.</w:t>
      </w:r>
    </w:p>
    <w:p w14:paraId="6C6F2C2D"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 5. Het in artikel 17 bedoelde verhaal tot </w:t>
      </w:r>
      <w:proofErr w:type="spellStart"/>
      <w:r w:rsidRPr="00061F1F">
        <w:rPr>
          <w:rFonts w:ascii="Century Gothic" w:hAnsi="Century Gothic"/>
          <w:sz w:val="15"/>
          <w:szCs w:val="15"/>
        </w:rPr>
        <w:t>onverbindendverklaring</w:t>
      </w:r>
      <w:proofErr w:type="spellEnd"/>
      <w:r w:rsidRPr="00061F1F">
        <w:rPr>
          <w:rFonts w:ascii="Century Gothic" w:hAnsi="Century Gothic"/>
          <w:sz w:val="15"/>
          <w:szCs w:val="15"/>
        </w:rPr>
        <w:t xml:space="preserve"> wordt ingesteld binnen een termijn van dertig dagen die ingaat de dag waarop de aanbestedende instantie, hetzij :</w:t>
      </w:r>
    </w:p>
    <w:p w14:paraId="7FFEA737"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1° de aankondiging van gegunde opdracht of concessie heeft bekendgemaakt overeenkomstig de daartoe vastgestelde bepalingen, wanneer de aanbestedende instantie beslist heeft deze opdracht of concessie te plaatsen zonder voorafgaande bekendmaking van een aankondiging van opdracht of van concessie in het Publicatieblad van de Europese Unie en het Bulletin der Aanbestedingen en de aankondiging van gegunde opdracht of concessie de rechtvaardiging van deze beslissing bevat, of</w:t>
      </w:r>
    </w:p>
    <w:p w14:paraId="6761E655"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2° de betrokken kandidaten en inschrijvers ervan in kennis heeft gesteld dat de opdracht of de concessie werd gesloten en hen tegelijk de gemotiveerde beslissing heeft meegedeeld die op hen betrekking heeft.</w:t>
      </w:r>
    </w:p>
    <w:p w14:paraId="31CE46BD"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De verhaaltermijn bedraagt zes maanden vanaf de dag waarop de opdracht of de concessie werd gesloten, wanneer de aanbestedende instantie de bepalingen van het eerste lid niet naleeft. </w:t>
      </w:r>
    </w:p>
    <w:p w14:paraId="517C7DCD"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 6. Het in artikel 22 bedoelde verhaal tot alternatieve sancties wordt ingesteld binnen een termijn van zes maanden.</w:t>
      </w:r>
    </w:p>
    <w:p w14:paraId="2FF303B4" w14:textId="77777777" w:rsidR="00DA6050" w:rsidRPr="00061F1F" w:rsidRDefault="00DA6050" w:rsidP="00DA6050">
      <w:pPr>
        <w:jc w:val="both"/>
        <w:rPr>
          <w:rFonts w:ascii="Century Gothic" w:hAnsi="Century Gothic"/>
          <w:b/>
          <w:sz w:val="15"/>
          <w:szCs w:val="15"/>
        </w:rPr>
      </w:pPr>
      <w:r w:rsidRPr="00061F1F">
        <w:rPr>
          <w:rFonts w:ascii="Century Gothic" w:hAnsi="Century Gothic"/>
          <w:b/>
          <w:sz w:val="15"/>
          <w:szCs w:val="15"/>
        </w:rPr>
        <w:t>Verhaalinstanties</w:t>
      </w:r>
    </w:p>
    <w:p w14:paraId="18E1EF41"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Art. 24. Voor de verhaalprocedures bedoeld in de artikelen 14, 15 en 16 is de verhaalinstantie :</w:t>
      </w:r>
    </w:p>
    <w:p w14:paraId="2EA44271"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1° de afdeling bestuursrechtspraak van de Raad van State, wanneer de aanbestedende instantie een overheid is als bedoeld in artikel 14, § 1, van de gecoördineerde wetten op de Raad van State;</w:t>
      </w:r>
    </w:p>
    <w:p w14:paraId="6E95BADF"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2° de gewone rechter wanneer de aanbestedende instantie geen overheid is als bedoeld in artikel 14, § 1, van de gecoördineerde wetten op de Raad van State.</w:t>
      </w:r>
    </w:p>
    <w:p w14:paraId="012EE458" w14:textId="77777777" w:rsidR="00DA6050" w:rsidRPr="00061F1F" w:rsidRDefault="00AA30B8" w:rsidP="00DA6050">
      <w:pPr>
        <w:jc w:val="both"/>
        <w:rPr>
          <w:rFonts w:ascii="Century Gothic" w:hAnsi="Century Gothic"/>
          <w:sz w:val="15"/>
          <w:szCs w:val="15"/>
        </w:rPr>
      </w:pPr>
      <w:r w:rsidRPr="00061F1F">
        <w:rPr>
          <w:rFonts w:ascii="Century Gothic" w:hAnsi="Century Gothic"/>
          <w:sz w:val="15"/>
          <w:szCs w:val="15"/>
        </w:rPr>
        <w:t xml:space="preserve">  Voor de verhaalprocedure bedoeld in artikel 16 is de verhaalinstantie ook de gewone rechter wanneer de aanbestedende instantie een overheid is als bedoeld in artikel 14, § 1, van de gecoördineerde wetten op de Raad van State en geen schadevergoeding tot herstel als bedoeld in artikel 11bis van dezelfde gecoördineerde wetten werd gevorderd.</w:t>
      </w:r>
    </w:p>
    <w:p w14:paraId="7EFAA3A9" w14:textId="77777777" w:rsidR="00DA6050" w:rsidRPr="00061F1F" w:rsidRDefault="00DA6050" w:rsidP="00DA6050">
      <w:pPr>
        <w:jc w:val="both"/>
        <w:rPr>
          <w:rFonts w:ascii="Century Gothic" w:hAnsi="Century Gothic"/>
          <w:sz w:val="15"/>
          <w:szCs w:val="15"/>
        </w:rPr>
      </w:pPr>
      <w:r w:rsidRPr="00061F1F">
        <w:rPr>
          <w:rFonts w:ascii="Century Gothic" w:hAnsi="Century Gothic"/>
          <w:sz w:val="15"/>
          <w:szCs w:val="15"/>
        </w:rPr>
        <w:t xml:space="preserve">  Voor de verhaalprocedures bedoeld in de artikelen 17 en 22 is de verhaalinstantie de gewone rechter. Voor de </w:t>
      </w:r>
      <w:proofErr w:type="spellStart"/>
      <w:r w:rsidRPr="00061F1F">
        <w:rPr>
          <w:rFonts w:ascii="Century Gothic" w:hAnsi="Century Gothic"/>
          <w:sz w:val="15"/>
          <w:szCs w:val="15"/>
        </w:rPr>
        <w:t>onverbindendverklaring</w:t>
      </w:r>
      <w:proofErr w:type="spellEnd"/>
      <w:r w:rsidRPr="00061F1F">
        <w:rPr>
          <w:rFonts w:ascii="Century Gothic" w:hAnsi="Century Gothic"/>
          <w:sz w:val="15"/>
          <w:szCs w:val="15"/>
        </w:rPr>
        <w:t xml:space="preserve"> en de alternatieve sancties zetelt de rechter zoals in kort geding.</w:t>
      </w:r>
    </w:p>
    <w:p w14:paraId="7065843A" w14:textId="77777777" w:rsidR="00AA30B8" w:rsidRPr="00061F1F" w:rsidRDefault="00AA30B8" w:rsidP="00DA6050">
      <w:pPr>
        <w:jc w:val="both"/>
        <w:rPr>
          <w:rFonts w:ascii="Century Gothic" w:hAnsi="Century Gothic"/>
          <w:sz w:val="15"/>
          <w:szCs w:val="15"/>
        </w:rPr>
      </w:pPr>
    </w:p>
    <w:p w14:paraId="018E97CA" w14:textId="77777777" w:rsidR="00AA30B8" w:rsidRPr="00061F1F" w:rsidRDefault="00AA30B8" w:rsidP="00DA6050">
      <w:pPr>
        <w:jc w:val="both"/>
        <w:rPr>
          <w:rFonts w:ascii="Century Gothic" w:hAnsi="Century Gothic"/>
          <w:sz w:val="15"/>
          <w:szCs w:val="15"/>
        </w:rPr>
      </w:pPr>
    </w:p>
    <w:p w14:paraId="5661D774" w14:textId="77777777" w:rsidR="00AA30B8" w:rsidRPr="00061F1F" w:rsidRDefault="00AA30B8" w:rsidP="00DA6050">
      <w:pPr>
        <w:jc w:val="both"/>
        <w:rPr>
          <w:rFonts w:ascii="Century Gothic" w:hAnsi="Century Gothic"/>
          <w:i/>
          <w:sz w:val="15"/>
          <w:szCs w:val="15"/>
        </w:rPr>
      </w:pPr>
      <w:r w:rsidRPr="00061F1F">
        <w:rPr>
          <w:rFonts w:ascii="Century Gothic" w:hAnsi="Century Gothic"/>
          <w:i/>
          <w:sz w:val="15"/>
          <w:szCs w:val="15"/>
        </w:rPr>
        <w:t>N.B. : volgens de recente rechtspraak van de Raad van State wordt een openbare vastgoedmaatschappij (OVM) niet beschouwd als een overheid als bedoeld in artikel 14, § 1, van de gecoördineerde wetten op de Raad van State (RvS, arrest nr. 233.977 van 1 maart 2016).</w:t>
      </w:r>
    </w:p>
    <w:p w14:paraId="02936A64" w14:textId="77777777" w:rsidR="00AA30B8" w:rsidRPr="00061F1F" w:rsidRDefault="00AA30B8" w:rsidP="00DA6050">
      <w:pPr>
        <w:jc w:val="both"/>
        <w:rPr>
          <w:rFonts w:ascii="Century Gothic" w:hAnsi="Century Gothic"/>
          <w:b/>
          <w:sz w:val="15"/>
          <w:szCs w:val="15"/>
        </w:rPr>
        <w:sectPr w:rsidR="00AA30B8" w:rsidRPr="00061F1F" w:rsidSect="00AA30B8">
          <w:type w:val="continuous"/>
          <w:pgSz w:w="11906" w:h="16838"/>
          <w:pgMar w:top="1417" w:right="1417" w:bottom="1417" w:left="1417" w:header="708" w:footer="708" w:gutter="0"/>
          <w:cols w:num="2" w:space="708"/>
          <w:docGrid w:linePitch="360"/>
        </w:sectPr>
      </w:pPr>
    </w:p>
    <w:p w14:paraId="6C6536D2" w14:textId="77777777" w:rsidR="00712D68" w:rsidRPr="00061F1F" w:rsidRDefault="00712D68" w:rsidP="00DA6050">
      <w:pPr>
        <w:jc w:val="both"/>
        <w:rPr>
          <w:rFonts w:ascii="Century Gothic" w:hAnsi="Century Gothic"/>
          <w:sz w:val="15"/>
          <w:szCs w:val="15"/>
        </w:rPr>
      </w:pPr>
    </w:p>
    <w:sectPr w:rsidR="00712D68" w:rsidRPr="00061F1F" w:rsidSect="00AA30B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95A5" w14:textId="77777777" w:rsidR="00C356CF" w:rsidRDefault="00C356CF" w:rsidP="001D56E8">
      <w:r>
        <w:separator/>
      </w:r>
    </w:p>
  </w:endnote>
  <w:endnote w:type="continuationSeparator" w:id="0">
    <w:p w14:paraId="4E525CE3" w14:textId="77777777" w:rsidR="00C356CF" w:rsidRDefault="00C356CF"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9117" w14:textId="644091B3" w:rsidR="001D56E8" w:rsidRPr="0020045D" w:rsidRDefault="0020045D" w:rsidP="0020045D">
    <w:pPr>
      <w:pStyle w:val="Voettekst"/>
    </w:pPr>
    <w:r>
      <w:rPr>
        <w:sz w:val="16"/>
      </w:rPr>
      <w:fldChar w:fldCharType="begin"/>
    </w:r>
    <w:r>
      <w:rPr>
        <w:sz w:val="16"/>
      </w:rPr>
      <w:instrText xml:space="preserve"> FILENAME \* MERGEFORMAT </w:instrText>
    </w:r>
    <w:r>
      <w:rPr>
        <w:sz w:val="16"/>
      </w:rPr>
      <w:fldChar w:fldCharType="separate"/>
    </w:r>
    <w:r>
      <w:rPr>
        <w:sz w:val="16"/>
      </w:rPr>
      <w:t>DM</w:t>
    </w:r>
    <w:r w:rsidR="00FF76E8">
      <w:rPr>
        <w:sz w:val="16"/>
      </w:rPr>
      <w:t>S</w:t>
    </w:r>
    <w:r>
      <w:rPr>
        <w:sz w:val="16"/>
      </w:rPr>
      <w:t>_INFO_IRREGULIER_20</w:t>
    </w:r>
    <w:r w:rsidR="00FF76E8">
      <w:rPr>
        <w:sz w:val="16"/>
      </w:rPr>
      <w:t>25</w:t>
    </w:r>
    <w:r>
      <w:rPr>
        <w:sz w:val="16"/>
      </w:rPr>
      <w:t>_</w:t>
    </w:r>
    <w:r w:rsidR="00B61D55">
      <w:rPr>
        <w:sz w:val="16"/>
      </w:rPr>
      <w:t>N</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80C1" w14:textId="77777777" w:rsidR="00C356CF" w:rsidRDefault="00C356CF" w:rsidP="001D56E8">
      <w:r>
        <w:separator/>
      </w:r>
    </w:p>
  </w:footnote>
  <w:footnote w:type="continuationSeparator" w:id="0">
    <w:p w14:paraId="036C5E83" w14:textId="77777777" w:rsidR="00C356CF" w:rsidRDefault="00C356CF" w:rsidP="001D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91408039">
    <w:abstractNumId w:val="1"/>
  </w:num>
  <w:num w:numId="2" w16cid:durableId="711616661">
    <w:abstractNumId w:val="2"/>
  </w:num>
  <w:num w:numId="3" w16cid:durableId="2145809164">
    <w:abstractNumId w:val="4"/>
  </w:num>
  <w:num w:numId="4" w16cid:durableId="1545409868">
    <w:abstractNumId w:val="0"/>
  </w:num>
  <w:num w:numId="5" w16cid:durableId="818619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3613D"/>
    <w:rsid w:val="00061F1F"/>
    <w:rsid w:val="0007393E"/>
    <w:rsid w:val="0007546C"/>
    <w:rsid w:val="000E3658"/>
    <w:rsid w:val="00127B73"/>
    <w:rsid w:val="001725E0"/>
    <w:rsid w:val="001973AF"/>
    <w:rsid w:val="001D56E8"/>
    <w:rsid w:val="001E7951"/>
    <w:rsid w:val="0020045D"/>
    <w:rsid w:val="002068C9"/>
    <w:rsid w:val="002D09BE"/>
    <w:rsid w:val="002D3E24"/>
    <w:rsid w:val="002F1B2E"/>
    <w:rsid w:val="002F4E9A"/>
    <w:rsid w:val="00342EF1"/>
    <w:rsid w:val="00363876"/>
    <w:rsid w:val="00374E72"/>
    <w:rsid w:val="003C02A6"/>
    <w:rsid w:val="003E61A1"/>
    <w:rsid w:val="003F3649"/>
    <w:rsid w:val="00490A58"/>
    <w:rsid w:val="004C087C"/>
    <w:rsid w:val="00501CD0"/>
    <w:rsid w:val="00512626"/>
    <w:rsid w:val="00525519"/>
    <w:rsid w:val="00531DBA"/>
    <w:rsid w:val="00570D29"/>
    <w:rsid w:val="005E39C0"/>
    <w:rsid w:val="005E61F7"/>
    <w:rsid w:val="0061260F"/>
    <w:rsid w:val="00663647"/>
    <w:rsid w:val="006D7FE7"/>
    <w:rsid w:val="006F60F9"/>
    <w:rsid w:val="00707FD1"/>
    <w:rsid w:val="00712D68"/>
    <w:rsid w:val="0072534E"/>
    <w:rsid w:val="00771735"/>
    <w:rsid w:val="007D13A5"/>
    <w:rsid w:val="007F29D5"/>
    <w:rsid w:val="008B0564"/>
    <w:rsid w:val="008C1984"/>
    <w:rsid w:val="008E6E61"/>
    <w:rsid w:val="00903BD8"/>
    <w:rsid w:val="00961602"/>
    <w:rsid w:val="00962C07"/>
    <w:rsid w:val="00991FDD"/>
    <w:rsid w:val="009D0614"/>
    <w:rsid w:val="00A06D50"/>
    <w:rsid w:val="00A43D76"/>
    <w:rsid w:val="00A66148"/>
    <w:rsid w:val="00AA30B8"/>
    <w:rsid w:val="00B61D55"/>
    <w:rsid w:val="00B63D15"/>
    <w:rsid w:val="00B747ED"/>
    <w:rsid w:val="00BB6E03"/>
    <w:rsid w:val="00C356CF"/>
    <w:rsid w:val="00C465D0"/>
    <w:rsid w:val="00C5594C"/>
    <w:rsid w:val="00C96B62"/>
    <w:rsid w:val="00CC4965"/>
    <w:rsid w:val="00D07C45"/>
    <w:rsid w:val="00D147A2"/>
    <w:rsid w:val="00D33FD3"/>
    <w:rsid w:val="00D55016"/>
    <w:rsid w:val="00D9403C"/>
    <w:rsid w:val="00D94F74"/>
    <w:rsid w:val="00DA6050"/>
    <w:rsid w:val="00DB19B6"/>
    <w:rsid w:val="00E40B3A"/>
    <w:rsid w:val="00ED144E"/>
    <w:rsid w:val="00F04BE1"/>
    <w:rsid w:val="00F10560"/>
    <w:rsid w:val="00F363DC"/>
    <w:rsid w:val="00F7716E"/>
    <w:rsid w:val="00F81770"/>
    <w:rsid w:val="00F82BD3"/>
    <w:rsid w:val="00F83280"/>
    <w:rsid w:val="00F9779F"/>
    <w:rsid w:val="00FC5943"/>
    <w:rsid w:val="00FE6642"/>
    <w:rsid w:val="00FF76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C0122"/>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FD3"/>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 w:type="paragraph" w:styleId="Voetnoottekst">
    <w:name w:val="footnote text"/>
    <w:basedOn w:val="Standaard"/>
    <w:link w:val="VoetnoottekstChar"/>
    <w:uiPriority w:val="99"/>
    <w:semiHidden/>
    <w:unhideWhenUsed/>
    <w:rsid w:val="00D07C45"/>
    <w:rPr>
      <w:sz w:val="20"/>
      <w:szCs w:val="20"/>
    </w:rPr>
  </w:style>
  <w:style w:type="character" w:customStyle="1" w:styleId="VoetnoottekstChar">
    <w:name w:val="Voetnoottekst Char"/>
    <w:basedOn w:val="Standaardalinea-lettertype"/>
    <w:link w:val="Voetnoottekst"/>
    <w:uiPriority w:val="99"/>
    <w:semiHidden/>
    <w:rsid w:val="00D07C45"/>
    <w:rPr>
      <w:rFonts w:asciiTheme="minorHAnsi" w:eastAsiaTheme="minorHAnsi" w:hAnsiTheme="minorHAnsi" w:cstheme="minorBidi"/>
    </w:rPr>
  </w:style>
  <w:style w:type="character" w:styleId="Voetnootmarkering">
    <w:name w:val="footnote reference"/>
    <w:basedOn w:val="Standaardalinea-lettertype"/>
    <w:uiPriority w:val="99"/>
    <w:semiHidden/>
    <w:unhideWhenUsed/>
    <w:rsid w:val="00D07C45"/>
    <w:rPr>
      <w:vertAlign w:val="superscript"/>
    </w:rPr>
  </w:style>
  <w:style w:type="character" w:styleId="Hyperlink">
    <w:name w:val="Hyperlink"/>
    <w:basedOn w:val="Standaardalinea-lettertype"/>
    <w:uiPriority w:val="99"/>
    <w:unhideWhenUsed/>
    <w:rsid w:val="00531DBA"/>
    <w:rPr>
      <w:color w:val="0563C1" w:themeColor="hyperlink"/>
      <w:u w:val="single"/>
    </w:rPr>
  </w:style>
  <w:style w:type="character" w:styleId="Onopgelostemelding">
    <w:name w:val="Unresolved Mention"/>
    <w:basedOn w:val="Standaardalinea-lettertype"/>
    <w:uiPriority w:val="99"/>
    <w:semiHidden/>
    <w:unhideWhenUsed/>
    <w:rsid w:val="00531DBA"/>
    <w:rPr>
      <w:color w:val="605E5C"/>
      <w:shd w:val="clear" w:color="auto" w:fill="E1DFDD"/>
    </w:rPr>
  </w:style>
  <w:style w:type="paragraph" w:styleId="Revisie">
    <w:name w:val="Revision"/>
    <w:hidden/>
    <w:uiPriority w:val="99"/>
    <w:semiHidden/>
    <w:rsid w:val="00D94F74"/>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512626"/>
    <w:rPr>
      <w:sz w:val="16"/>
      <w:szCs w:val="16"/>
    </w:rPr>
  </w:style>
  <w:style w:type="paragraph" w:styleId="Tekstopmerking">
    <w:name w:val="annotation text"/>
    <w:basedOn w:val="Standaard"/>
    <w:link w:val="TekstopmerkingChar"/>
    <w:uiPriority w:val="99"/>
    <w:unhideWhenUsed/>
    <w:rsid w:val="00512626"/>
    <w:rPr>
      <w:sz w:val="20"/>
      <w:szCs w:val="20"/>
    </w:rPr>
  </w:style>
  <w:style w:type="character" w:customStyle="1" w:styleId="TekstopmerkingChar">
    <w:name w:val="Tekst opmerking Char"/>
    <w:basedOn w:val="Standaardalinea-lettertype"/>
    <w:link w:val="Tekstopmerking"/>
    <w:uiPriority w:val="99"/>
    <w:rsid w:val="00512626"/>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512626"/>
    <w:rPr>
      <w:b/>
      <w:bCs/>
    </w:rPr>
  </w:style>
  <w:style w:type="character" w:customStyle="1" w:styleId="OnderwerpvanopmerkingChar">
    <w:name w:val="Onderwerp van opmerking Char"/>
    <w:basedOn w:val="TekstopmerkingChar"/>
    <w:link w:val="Onderwerpvanopmerking"/>
    <w:uiPriority w:val="99"/>
    <w:semiHidden/>
    <w:rsid w:val="0051262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17102">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 w:id="1206217120">
      <w:bodyDiv w:val="1"/>
      <w:marLeft w:val="0"/>
      <w:marRight w:val="0"/>
      <w:marTop w:val="0"/>
      <w:marBottom w:val="0"/>
      <w:divBdr>
        <w:top w:val="none" w:sz="0" w:space="0" w:color="auto"/>
        <w:left w:val="none" w:sz="0" w:space="0" w:color="auto"/>
        <w:bottom w:val="none" w:sz="0" w:space="0" w:color="auto"/>
        <w:right w:val="none" w:sz="0" w:space="0" w:color="auto"/>
      </w:divBdr>
    </w:div>
    <w:div w:id="14046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lrbghm.sharepoint.com/:w:/r/sites/E-bibliotheque/_layouts/15/Doc.aspx?sourcedoc=%7B8353B6FC-523D-4794-A718-AC7931D87A2E%7D&amp;file=Note%20info%20aux%20soumissionnaires_NL.docx&amp;action=default&amp;mobileredirect=true&amp;DefaultItemOpen=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rb-bghm.brussels/nl/technische-documenten/algeme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DD4F4-B4AB-4346-BA11-C8D54808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DBE19-2850-448B-AACE-CA2C475FDC89}">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C485DC8D-79ED-476A-AD4A-78BBF0994BE2}">
  <ds:schemaRefs>
    <ds:schemaRef ds:uri="http://schemas.microsoft.com/sharepoint/v3/contenttype/forms"/>
  </ds:schemaRefs>
</ds:datastoreItem>
</file>

<file path=customXml/itemProps4.xml><?xml version="1.0" encoding="utf-8"?>
<ds:datastoreItem xmlns:ds="http://schemas.openxmlformats.org/officeDocument/2006/customXml" ds:itemID="{61D2A2DC-4385-48D7-BB07-225FEDF7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1391</Words>
  <Characters>7652</Characters>
  <Application>Microsoft Office Word</Application>
  <DocSecurity>0</DocSecurity>
  <Lines>63</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SLRB BGHM</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Lies VAN PETEGHEM</cp:lastModifiedBy>
  <cp:revision>27</cp:revision>
  <dcterms:created xsi:type="dcterms:W3CDTF">2018-11-09T15:12:00Z</dcterms:created>
  <dcterms:modified xsi:type="dcterms:W3CDTF">2025-08-28T13:19:00Z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