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3B41" w14:textId="6F9520D6" w:rsidR="00B747ED" w:rsidRPr="00327259" w:rsidRDefault="00B747ED" w:rsidP="00B747ED">
      <w:pPr>
        <w:pStyle w:val="Kop5"/>
        <w:rPr>
          <w:rFonts w:ascii="Century Gothic" w:hAnsi="Century Gothic"/>
          <w:color w:val="00A4B7" w:themeColor="accent1"/>
          <w:sz w:val="30"/>
          <w:szCs w:val="30"/>
        </w:rPr>
      </w:pPr>
      <w:r>
        <w:rPr>
          <w:rFonts w:ascii="Century Gothic" w:hAnsi="Century Gothic"/>
          <w:color w:val="00A4B7" w:themeColor="accent1"/>
          <w:sz w:val="30"/>
        </w:rPr>
        <w:t>VERZOEK TOT VERLENGING VAN DE GELDIGHEID VAN DE</w:t>
      </w:r>
      <w:r w:rsidR="007C6246">
        <w:rPr>
          <w:rFonts w:ascii="Century Gothic" w:hAnsi="Century Gothic"/>
          <w:color w:val="00A4B7" w:themeColor="accent1"/>
          <w:sz w:val="30"/>
        </w:rPr>
        <w:t xml:space="preserve"> </w:t>
      </w:r>
      <w:r>
        <w:rPr>
          <w:rFonts w:ascii="Century Gothic" w:hAnsi="Century Gothic"/>
          <w:color w:val="00A4B7" w:themeColor="accent1"/>
          <w:sz w:val="30"/>
        </w:rPr>
        <w:t>OFFERTES</w:t>
      </w:r>
    </w:p>
    <w:p w14:paraId="47D51789" w14:textId="77777777" w:rsidR="00B747ED" w:rsidRPr="00B747ED" w:rsidRDefault="00B747ED" w:rsidP="00B747ED"/>
    <w:p w14:paraId="54F4C453" w14:textId="77777777" w:rsidR="00B747ED" w:rsidRDefault="00B747ED" w:rsidP="00B747ED">
      <w:pPr>
        <w:jc w:val="right"/>
        <w:rPr>
          <w:rFonts w:ascii="Century Gothic" w:hAnsi="Century Gothic"/>
        </w:rPr>
      </w:pPr>
    </w:p>
    <w:p w14:paraId="4D1C9106" w14:textId="77777777" w:rsidR="00B747ED" w:rsidRPr="00B63D15" w:rsidRDefault="00B747ED" w:rsidP="00B747ED">
      <w:pPr>
        <w:jc w:val="right"/>
        <w:rPr>
          <w:rFonts w:ascii="Century Gothic" w:hAnsi="Century Gothic"/>
          <w:color w:val="00A4B7" w:themeColor="accent1"/>
        </w:rPr>
      </w:pPr>
      <w:r>
        <w:rPr>
          <w:rFonts w:ascii="Century Gothic" w:hAnsi="Century Gothic"/>
        </w:rPr>
        <w:t xml:space="preserve">Brussel, </w:t>
      </w:r>
      <w:r>
        <w:rPr>
          <w:rFonts w:ascii="Century Gothic" w:hAnsi="Century Gothic"/>
          <w:b/>
          <w:i/>
          <w:color w:val="00A4B7" w:themeColor="accent1"/>
        </w:rPr>
        <w:t>(dag, maand, jaar)</w:t>
      </w:r>
    </w:p>
    <w:p w14:paraId="5BF46A18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 FAX OF E-MAIL</w:t>
      </w:r>
    </w:p>
    <w:p w14:paraId="4A970F88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PER AANGETEKEND SCHRIJVEN</w:t>
      </w:r>
    </w:p>
    <w:p w14:paraId="203BB511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2D9E0CCB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235D8364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Geachte mevrouw, geachte heer,</w:t>
      </w:r>
    </w:p>
    <w:p w14:paraId="55865D48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1EB577B6" w14:textId="77777777" w:rsidR="00B747ED" w:rsidRPr="002D0138" w:rsidRDefault="00B747ED" w:rsidP="00B747ED">
      <w:pPr>
        <w:jc w:val="both"/>
        <w:rPr>
          <w:rFonts w:ascii="Century Gothic" w:hAnsi="Century Gothic"/>
        </w:rPr>
      </w:pPr>
    </w:p>
    <w:p w14:paraId="372929BD" w14:textId="77777777" w:rsidR="00327259" w:rsidRPr="00327259" w:rsidRDefault="00B747ED" w:rsidP="00327259">
      <w:pPr>
        <w:ind w:left="851" w:hanging="851"/>
        <w:rPr>
          <w:rFonts w:eastAsia="Times New Roman" w:cs="Times New Roman"/>
          <w:color w:val="00A4B7" w:themeColor="accent1"/>
        </w:rPr>
      </w:pPr>
      <w:r>
        <w:rPr>
          <w:rFonts w:ascii="Century Gothic" w:hAnsi="Century Gothic"/>
          <w:b/>
        </w:rPr>
        <w:t>Betreft:</w:t>
      </w:r>
      <w:r>
        <w:t xml:space="preserve"> </w:t>
      </w:r>
      <w:r>
        <w:tab/>
      </w:r>
      <w:r>
        <w:rPr>
          <w:rFonts w:ascii="Century Gothic" w:hAnsi="Century Gothic"/>
        </w:rPr>
        <w:t>Beperkte procedure van</w:t>
      </w:r>
      <w:r>
        <w:rPr>
          <w:rFonts w:ascii="Century Gothic" w:hAnsi="Century Gothic"/>
          <w:color w:val="00A4B7" w:themeColor="accent1"/>
        </w:rPr>
        <w:t xml:space="preserve"> </w:t>
      </w:r>
      <w:r>
        <w:rPr>
          <w:rFonts w:ascii="Century Gothic" w:hAnsi="Century Gothic"/>
          <w:b/>
          <w:i/>
          <w:color w:val="00A4B7" w:themeColor="accent1"/>
        </w:rPr>
        <w:t>(uiterste datum van indiening van de offertes)</w:t>
      </w:r>
    </w:p>
    <w:p w14:paraId="61644743" w14:textId="77777777" w:rsidR="008F6466" w:rsidRPr="00C12410" w:rsidRDefault="008F6466" w:rsidP="008F6466">
      <w:pPr>
        <w:ind w:left="851"/>
        <w:rPr>
          <w:rFonts w:eastAsia="Times New Roman" w:cs="Times New Roman"/>
        </w:rPr>
      </w:pPr>
      <w:r>
        <w:rPr>
          <w:rFonts w:ascii="Century Gothic" w:hAnsi="Century Gothic"/>
        </w:rPr>
        <w:t xml:space="preserve">Opdracht voor diensten voor de aanstelling van </w:t>
      </w:r>
      <w:r>
        <w:rPr>
          <w:rFonts w:ascii="Century Gothic" w:hAnsi="Century Gothic"/>
          <w:b/>
          <w:i/>
          <w:color w:val="00A4B7" w:themeColor="accent1"/>
        </w:rPr>
        <w:t xml:space="preserve">(een multidisciplinair team of functie van de dienstverlener(s)) </w:t>
      </w:r>
      <w:r>
        <w:rPr>
          <w:rFonts w:ascii="Century Gothic" w:hAnsi="Century Gothic"/>
        </w:rPr>
        <w:t xml:space="preserve">voor </w:t>
      </w:r>
      <w:r>
        <w:rPr>
          <w:rFonts w:ascii="Century Gothic" w:hAnsi="Century Gothic"/>
          <w:b/>
          <w:i/>
          <w:color w:val="00A4B7" w:themeColor="accent1"/>
        </w:rPr>
        <w:t>(beschrijving van het programma)</w:t>
      </w:r>
    </w:p>
    <w:p w14:paraId="6052A03D" w14:textId="77777777" w:rsidR="00327259" w:rsidRPr="00327259" w:rsidRDefault="00327259" w:rsidP="00327259">
      <w:pPr>
        <w:ind w:left="851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hAnsi="Century Gothic"/>
        </w:rPr>
        <w:t xml:space="preserve">Bouwwerknr. </w:t>
      </w:r>
      <w:r>
        <w:rPr>
          <w:rFonts w:ascii="Century Gothic" w:hAnsi="Century Gothic"/>
          <w:b/>
          <w:i/>
          <w:color w:val="00A4B7" w:themeColor="accent1"/>
        </w:rPr>
        <w:t>(bouwwerknummer)</w:t>
      </w:r>
    </w:p>
    <w:p w14:paraId="6C8531A5" w14:textId="5CDA2770" w:rsidR="00B747ED" w:rsidRPr="00490A58" w:rsidRDefault="00B747ED" w:rsidP="00327259">
      <w:pPr>
        <w:ind w:left="851" w:hanging="851"/>
        <w:rPr>
          <w:rFonts w:ascii="Century Gothic" w:hAnsi="Century Gothic"/>
        </w:rPr>
      </w:pPr>
    </w:p>
    <w:p w14:paraId="4CCE80B3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292C3350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 offertes die in het kader van bovenvermelde procedure werden ingediend, worden momenteel onderzocht.</w:t>
      </w:r>
    </w:p>
    <w:p w14:paraId="1FB94733" w14:textId="77777777" w:rsidR="00B747ED" w:rsidRDefault="00B747ED" w:rsidP="00A43D76">
      <w:pPr>
        <w:jc w:val="both"/>
        <w:rPr>
          <w:rFonts w:ascii="Century Gothic" w:hAnsi="Century Gothic"/>
        </w:rPr>
      </w:pPr>
    </w:p>
    <w:p w14:paraId="6E645350" w14:textId="0C4DDFAA" w:rsidR="002B6A93" w:rsidRPr="00327259" w:rsidRDefault="002B6A93" w:rsidP="00A43D76">
      <w:pPr>
        <w:jc w:val="both"/>
        <w:rPr>
          <w:rFonts w:ascii="Century Gothic" w:hAnsi="Century Gothic"/>
          <w:b/>
          <w:bCs/>
          <w:i/>
          <w:color w:val="00A4B7" w:themeColor="accent1"/>
        </w:rPr>
      </w:pPr>
      <w:r>
        <w:rPr>
          <w:rFonts w:ascii="Century Gothic" w:hAnsi="Century Gothic"/>
          <w:b/>
          <w:i/>
          <w:color w:val="00A4B7" w:themeColor="accent1"/>
        </w:rPr>
        <w:t xml:space="preserve">(x) Vóór het verstrijken van de geldigheidstermijn van de offertes: artikel 58, lid 2 van het koninklijk besluit van 18 april 2017 </w:t>
      </w:r>
    </w:p>
    <w:p w14:paraId="682C1D2B" w14:textId="77777777" w:rsidR="002B6A93" w:rsidRDefault="002B6A93" w:rsidP="00A43D76">
      <w:pPr>
        <w:jc w:val="both"/>
        <w:rPr>
          <w:rFonts w:ascii="Century Gothic" w:hAnsi="Century Gothic"/>
          <w:i/>
          <w:color w:val="00A4B7" w:themeColor="accent1"/>
        </w:rPr>
      </w:pPr>
    </w:p>
    <w:p w14:paraId="304A5684" w14:textId="21DF1120" w:rsidR="002B6A93" w:rsidRPr="002B6A93" w:rsidRDefault="002B6A93" w:rsidP="002B6A93">
      <w:pPr>
        <w:pStyle w:val="Default"/>
        <w:rPr>
          <w:rFonts w:eastAsiaTheme="minorHAnsi" w:cstheme="minorBidi"/>
          <w:color w:val="auto"/>
          <w:sz w:val="22"/>
          <w:szCs w:val="22"/>
        </w:rPr>
      </w:pPr>
      <w:r>
        <w:rPr>
          <w:color w:val="auto"/>
          <w:sz w:val="22"/>
        </w:rPr>
        <w:t xml:space="preserve">Aangezien de geldigheidstermijn van die offertes binnenkort verstrijkt, vragen wij u of u ermee instemt de geldigheidstermijn van uw offerte te verlengen, en dit voor een nieuwe geldigheidstermijn van </w:t>
      </w:r>
      <w:r>
        <w:rPr>
          <w:b/>
          <w:i/>
          <w:color w:val="3E5B7B"/>
          <w:sz w:val="22"/>
        </w:rPr>
        <w:t>[...]</w:t>
      </w:r>
      <w:r>
        <w:rPr>
          <w:b/>
          <w:i/>
          <w:color w:val="00A4B7" w:themeColor="accent1"/>
          <w:sz w:val="22"/>
        </w:rPr>
        <w:t xml:space="preserve"> </w:t>
      </w:r>
      <w:r>
        <w:rPr>
          <w:color w:val="auto"/>
          <w:sz w:val="22"/>
        </w:rPr>
        <w:t xml:space="preserve">kalenderdagen, te rekenen vanaf de dag die volgt op de datum van het verstrijken van de oorspronkelijke geldigheidstermijn van uw offerte </w:t>
      </w:r>
      <w:r>
        <w:rPr>
          <w:b/>
          <w:i/>
          <w:color w:val="00A4B7" w:themeColor="accent1"/>
          <w:sz w:val="22"/>
        </w:rPr>
        <w:t>(het gewenste aantal dagen opgeven)</w:t>
      </w:r>
      <w:r>
        <w:t>.</w:t>
      </w:r>
    </w:p>
    <w:p w14:paraId="6D4C929B" w14:textId="77777777" w:rsidR="002B6A93" w:rsidRPr="007C6246" w:rsidRDefault="002B6A93" w:rsidP="002B6A93">
      <w:pPr>
        <w:pStyle w:val="Default"/>
        <w:rPr>
          <w:rFonts w:eastAsiaTheme="minorHAnsi" w:cstheme="minorBidi"/>
          <w:color w:val="auto"/>
          <w:sz w:val="22"/>
          <w:szCs w:val="22"/>
        </w:rPr>
      </w:pPr>
    </w:p>
    <w:p w14:paraId="5D501485" w14:textId="3C78227B" w:rsidR="002B6A93" w:rsidRPr="002B6A93" w:rsidRDefault="002B6A93" w:rsidP="002B6A9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Wij moeten uw antwoord schriftelijk ontvangen binnen de 12 kalenderdagen na de verzending van onderhavige brief. </w:t>
      </w:r>
    </w:p>
    <w:p w14:paraId="0D1AA95F" w14:textId="77777777" w:rsidR="002B6A93" w:rsidRDefault="002B6A93" w:rsidP="002B6A93">
      <w:pPr>
        <w:jc w:val="both"/>
        <w:rPr>
          <w:rFonts w:ascii="Century Gothic" w:hAnsi="Century Gothic"/>
          <w:i/>
          <w:color w:val="00A4B7" w:themeColor="accent1"/>
        </w:rPr>
      </w:pPr>
    </w:p>
    <w:p w14:paraId="7FCA641B" w14:textId="6F6C9C5F" w:rsidR="002B6A93" w:rsidRDefault="00E850C4" w:rsidP="002B6A93">
      <w:pPr>
        <w:jc w:val="both"/>
        <w:rPr>
          <w:rFonts w:ascii="Century Gothic" w:hAnsi="Century Gothic"/>
          <w:b/>
          <w:bCs/>
          <w:i/>
          <w:color w:val="00A4B7" w:themeColor="accent1"/>
        </w:rPr>
      </w:pPr>
      <w:r>
        <w:rPr>
          <w:rFonts w:ascii="Century Gothic" w:hAnsi="Century Gothic"/>
          <w:b/>
          <w:bCs/>
          <w:i/>
          <w:color w:val="00A4B7" w:themeColor="accent1"/>
        </w:rPr>
        <w:t xml:space="preserve">OF </w:t>
      </w:r>
    </w:p>
    <w:p w14:paraId="0BE3A333" w14:textId="77777777" w:rsidR="00E850C4" w:rsidRPr="00327259" w:rsidRDefault="00E850C4" w:rsidP="002B6A93">
      <w:pPr>
        <w:jc w:val="both"/>
        <w:rPr>
          <w:rFonts w:ascii="Century Gothic" w:hAnsi="Century Gothic"/>
          <w:b/>
          <w:bCs/>
          <w:i/>
          <w:color w:val="00A4B7" w:themeColor="accent1"/>
        </w:rPr>
      </w:pPr>
    </w:p>
    <w:p w14:paraId="190D8627" w14:textId="465922C1" w:rsidR="002B6A93" w:rsidRPr="00327259" w:rsidRDefault="002B6A93" w:rsidP="00A43D76">
      <w:pPr>
        <w:jc w:val="both"/>
        <w:rPr>
          <w:rFonts w:ascii="Century Gothic" w:hAnsi="Century Gothic"/>
          <w:b/>
          <w:bCs/>
          <w:i/>
          <w:color w:val="00A4B7" w:themeColor="accent1"/>
        </w:rPr>
      </w:pPr>
      <w:r>
        <w:rPr>
          <w:rFonts w:ascii="Century Gothic" w:hAnsi="Century Gothic"/>
          <w:b/>
          <w:i/>
          <w:color w:val="00A4B7" w:themeColor="accent1"/>
        </w:rPr>
        <w:t>(x) Na het verstrijken van de geldigheidstermijn van de offertes: artikel 89 van het koninklijk besluit van 18 april 2017</w:t>
      </w:r>
    </w:p>
    <w:p w14:paraId="4F1DCB16" w14:textId="77777777" w:rsidR="002B6A93" w:rsidRPr="00490A58" w:rsidRDefault="002B6A93" w:rsidP="00A43D76">
      <w:pPr>
        <w:jc w:val="both"/>
        <w:rPr>
          <w:rFonts w:ascii="Century Gothic" w:hAnsi="Century Gothic"/>
        </w:rPr>
      </w:pPr>
    </w:p>
    <w:p w14:paraId="21ED3FC7" w14:textId="218AE98B" w:rsidR="001E1D4D" w:rsidRPr="001E6E73" w:rsidRDefault="001E1D4D" w:rsidP="001E1D4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Aangezien de geldigheidstermijn van die offertes </w:t>
      </w:r>
      <w:r w:rsidR="00E850C4">
        <w:rPr>
          <w:rFonts w:ascii="Century Gothic" w:hAnsi="Century Gothic"/>
        </w:rPr>
        <w:t xml:space="preserve">is </w:t>
      </w:r>
      <w:r>
        <w:rPr>
          <w:rFonts w:ascii="Century Gothic" w:hAnsi="Century Gothic"/>
        </w:rPr>
        <w:t xml:space="preserve">verstreken, vragen wij u of u ermee instemt uw offerte te behouden, en dit voor een nieuwe geldigheidstermijn van </w:t>
      </w:r>
      <w:r>
        <w:rPr>
          <w:b/>
          <w:i/>
          <w:color w:val="3E5B7B"/>
        </w:rPr>
        <w:t>[...]</w:t>
      </w:r>
      <w:r>
        <w:rPr>
          <w:rFonts w:ascii="Century Gothic" w:hAnsi="Century Gothic"/>
          <w:color w:val="00A4B7" w:themeColor="accent1"/>
        </w:rPr>
        <w:t xml:space="preserve"> </w:t>
      </w:r>
      <w:r>
        <w:rPr>
          <w:rFonts w:ascii="Century Gothic" w:hAnsi="Century Gothic"/>
        </w:rPr>
        <w:t xml:space="preserve">kalenderdagen, te rekenen vanaf de dag van verzending van onderhavige brief </w:t>
      </w:r>
      <w:r>
        <w:rPr>
          <w:rFonts w:ascii="Century Gothic" w:hAnsi="Century Gothic"/>
          <w:b/>
          <w:i/>
          <w:color w:val="00A4B7" w:themeColor="accent1"/>
        </w:rPr>
        <w:t>(het gewenste aantal dagen opgeven)</w:t>
      </w:r>
      <w:r>
        <w:rPr>
          <w:rFonts w:ascii="Century Gothic" w:hAnsi="Century Gothic"/>
        </w:rPr>
        <w:t>.</w:t>
      </w:r>
    </w:p>
    <w:p w14:paraId="25B47D60" w14:textId="77777777" w:rsidR="001E1D4D" w:rsidRPr="001E6E73" w:rsidRDefault="001E1D4D" w:rsidP="001E1D4D">
      <w:pPr>
        <w:jc w:val="both"/>
        <w:rPr>
          <w:rFonts w:ascii="Century Gothic" w:hAnsi="Century Gothic"/>
        </w:rPr>
      </w:pPr>
    </w:p>
    <w:p w14:paraId="183A9BAD" w14:textId="77777777" w:rsidR="001E1D4D" w:rsidRPr="001E6E73" w:rsidRDefault="001E1D4D" w:rsidP="001E1D4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Wij moeten uw antwoord schriftelijk ontvangen binnen de </w:t>
      </w:r>
      <w:r>
        <w:rPr>
          <w:rFonts w:ascii="Century Gothic" w:hAnsi="Century Gothic"/>
          <w:b/>
        </w:rPr>
        <w:t>12 kalenderdagen</w:t>
      </w:r>
      <w:r>
        <w:rPr>
          <w:rFonts w:ascii="Century Gothic" w:hAnsi="Century Gothic"/>
        </w:rPr>
        <w:t xml:space="preserve"> na de verzending van onderhavige brief. Indien dat niet gebeurt, gaan wij ervan uit dat u uw offerte na het verstrijken van de geldigheidstermijn ervan, niet wenst te behouden.</w:t>
      </w:r>
    </w:p>
    <w:p w14:paraId="1B73007C" w14:textId="77777777" w:rsidR="001E1D4D" w:rsidRPr="001E6E73" w:rsidRDefault="001E1D4D" w:rsidP="001E1D4D">
      <w:pPr>
        <w:jc w:val="both"/>
        <w:rPr>
          <w:rFonts w:ascii="Century Gothic" w:hAnsi="Century Gothic"/>
        </w:rPr>
      </w:pPr>
    </w:p>
    <w:p w14:paraId="25E65736" w14:textId="77777777" w:rsidR="001E1D4D" w:rsidRPr="001E6E73" w:rsidRDefault="001E1D4D" w:rsidP="001E1D4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Ter informatie weze aangestipt dat indien u slechts instemt met het behoud van uw offerte op voorwaarde dat u die mag wijzigen, die wijziging, overeenkomstig artikel 89 van het koninklijk besluit van 18 april 2017, moet worden verantwoord op grond van </w:t>
      </w:r>
      <w:r>
        <w:rPr>
          <w:rFonts w:ascii="Century Gothic" w:hAnsi="Century Gothic"/>
        </w:rPr>
        <w:lastRenderedPageBreak/>
        <w:t>omstandigheden die zich na de uiterlijke datum en het uiterlijke uur voor de indiening van de offertes hebben voorgedaan.</w:t>
      </w:r>
    </w:p>
    <w:p w14:paraId="10AC7502" w14:textId="77777777" w:rsidR="00B747ED" w:rsidRPr="00490A58" w:rsidRDefault="00B747ED" w:rsidP="00A43D7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43117EA8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1134BDF6" w14:textId="77777777" w:rsidR="00B747ED" w:rsidRPr="00490A58" w:rsidRDefault="00B747ED" w:rsidP="00E850C4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Met hoogachting,</w:t>
      </w:r>
    </w:p>
    <w:p w14:paraId="2F68526C" w14:textId="77777777" w:rsidR="00712D68" w:rsidRPr="00B747ED" w:rsidRDefault="00712D68" w:rsidP="00B747ED"/>
    <w:sectPr w:rsidR="00712D68" w:rsidRPr="00B747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69BF" w14:textId="77777777" w:rsidR="007D283D" w:rsidRDefault="007D283D" w:rsidP="001D56E8">
      <w:r>
        <w:separator/>
      </w:r>
    </w:p>
  </w:endnote>
  <w:endnote w:type="continuationSeparator" w:id="0">
    <w:p w14:paraId="51AAAC91" w14:textId="77777777" w:rsidR="007D283D" w:rsidRDefault="007D283D" w:rsidP="001D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0A1B" w14:textId="77777777" w:rsidR="00385020" w:rsidRDefault="003850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CF15" w14:textId="30455C9A" w:rsidR="001D56E8" w:rsidRPr="001E1D4D" w:rsidRDefault="001E1D4D" w:rsidP="001E1D4D">
    <w:pPr>
      <w:pStyle w:val="Voettekst"/>
    </w:pPr>
    <w:r>
      <w:rPr>
        <w:sz w:val="16"/>
      </w:rPr>
      <w:fldChar w:fldCharType="begin"/>
    </w:r>
    <w:r>
      <w:rPr>
        <w:sz w:val="16"/>
      </w:rPr>
      <w:instrText xml:space="preserve"> FILENAME \* MERGEFORMAT </w:instrText>
    </w:r>
    <w:r>
      <w:rPr>
        <w:sz w:val="16"/>
      </w:rPr>
      <w:fldChar w:fldCharType="separate"/>
    </w:r>
    <w:r w:rsidR="004F7F52">
      <w:rPr>
        <w:sz w:val="16"/>
      </w:rPr>
      <w:t>DM</w:t>
    </w:r>
    <w:r w:rsidR="00327259">
      <w:rPr>
        <w:sz w:val="16"/>
      </w:rPr>
      <w:t>S</w:t>
    </w:r>
    <w:r w:rsidR="004F7F52">
      <w:rPr>
        <w:sz w:val="16"/>
      </w:rPr>
      <w:t>_DEMANDE_PROLONGATION_OFFRE_20</w:t>
    </w:r>
    <w:r w:rsidR="00327259">
      <w:rPr>
        <w:sz w:val="16"/>
      </w:rPr>
      <w:t>25</w:t>
    </w:r>
    <w:r w:rsidR="004F7F52">
      <w:rPr>
        <w:sz w:val="16"/>
      </w:rPr>
      <w:t>_</w:t>
    </w:r>
    <w:r w:rsidR="00385020">
      <w:rPr>
        <w:sz w:val="16"/>
      </w:rPr>
      <w:t>N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CBA5" w14:textId="77777777" w:rsidR="00385020" w:rsidRDefault="003850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60B4" w14:textId="77777777" w:rsidR="007D283D" w:rsidRDefault="007D283D" w:rsidP="001D56E8">
      <w:r>
        <w:separator/>
      </w:r>
    </w:p>
  </w:footnote>
  <w:footnote w:type="continuationSeparator" w:id="0">
    <w:p w14:paraId="1FF08F0F" w14:textId="77777777" w:rsidR="007D283D" w:rsidRDefault="007D283D" w:rsidP="001D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4B04" w14:textId="77777777" w:rsidR="00385020" w:rsidRDefault="0038502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4F1B" w14:textId="77777777" w:rsidR="00385020" w:rsidRDefault="0038502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96A3" w14:textId="77777777" w:rsidR="00385020" w:rsidRDefault="003850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65A"/>
    <w:multiLevelType w:val="hybridMultilevel"/>
    <w:tmpl w:val="C24ED2AC"/>
    <w:lvl w:ilvl="0" w:tplc="2EC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05D9"/>
    <w:multiLevelType w:val="multilevel"/>
    <w:tmpl w:val="C7385D5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bullet"/>
      <w:lvlText w:val=""/>
      <w:lvlJc w:val="left"/>
      <w:pPr>
        <w:ind w:left="431" w:hanging="431"/>
      </w:pPr>
      <w:rPr>
        <w:rFonts w:ascii="Wingdings" w:hAnsi="Wingdings" w:hint="default"/>
      </w:rPr>
    </w:lvl>
    <w:lvl w:ilvl="4">
      <w:start w:val="1"/>
      <w:numFmt w:val="decimal"/>
      <w:lvlText w:val="ANNEXE %5. 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ANNEXE  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MODELE %7."/>
      <w:lvlJc w:val="left"/>
      <w:pPr>
        <w:ind w:left="1708" w:hanging="43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MODELE 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 w16cid:durableId="1429887595">
    <w:abstractNumId w:val="0"/>
  </w:num>
  <w:num w:numId="2" w16cid:durableId="31248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3"/>
    <w:rsid w:val="00057D20"/>
    <w:rsid w:val="000D382F"/>
    <w:rsid w:val="000D7FA5"/>
    <w:rsid w:val="00127B73"/>
    <w:rsid w:val="001803BC"/>
    <w:rsid w:val="001973AF"/>
    <w:rsid w:val="001D56E8"/>
    <w:rsid w:val="001E1D4D"/>
    <w:rsid w:val="001E7951"/>
    <w:rsid w:val="002B6A93"/>
    <w:rsid w:val="002D3E24"/>
    <w:rsid w:val="002E36FB"/>
    <w:rsid w:val="002F1B2E"/>
    <w:rsid w:val="002F4E9A"/>
    <w:rsid w:val="00327259"/>
    <w:rsid w:val="0033601A"/>
    <w:rsid w:val="00385020"/>
    <w:rsid w:val="003C02A6"/>
    <w:rsid w:val="003E61A1"/>
    <w:rsid w:val="00490A58"/>
    <w:rsid w:val="004F7F52"/>
    <w:rsid w:val="00512C20"/>
    <w:rsid w:val="005223F6"/>
    <w:rsid w:val="00525519"/>
    <w:rsid w:val="00570D29"/>
    <w:rsid w:val="005C59ED"/>
    <w:rsid w:val="006240C7"/>
    <w:rsid w:val="006348E6"/>
    <w:rsid w:val="006C7BD8"/>
    <w:rsid w:val="006F60F9"/>
    <w:rsid w:val="00707FD1"/>
    <w:rsid w:val="00712D68"/>
    <w:rsid w:val="007C6246"/>
    <w:rsid w:val="007D283D"/>
    <w:rsid w:val="008F6466"/>
    <w:rsid w:val="00962C07"/>
    <w:rsid w:val="00991FDD"/>
    <w:rsid w:val="009C5BA9"/>
    <w:rsid w:val="00A43D76"/>
    <w:rsid w:val="00A66148"/>
    <w:rsid w:val="00B63D15"/>
    <w:rsid w:val="00B747ED"/>
    <w:rsid w:val="00BB6E03"/>
    <w:rsid w:val="00C302FF"/>
    <w:rsid w:val="00C5594C"/>
    <w:rsid w:val="00D147A2"/>
    <w:rsid w:val="00D33FD3"/>
    <w:rsid w:val="00D55016"/>
    <w:rsid w:val="00D758D2"/>
    <w:rsid w:val="00DD10B9"/>
    <w:rsid w:val="00E40B3A"/>
    <w:rsid w:val="00E850C4"/>
    <w:rsid w:val="00EA35E2"/>
    <w:rsid w:val="00F81770"/>
    <w:rsid w:val="00F82BD3"/>
    <w:rsid w:val="00F9779F"/>
    <w:rsid w:val="00F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CC1C"/>
  <w15:docId w15:val="{40C71517-51D1-4790-8625-EA4B5183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FD3"/>
    <w:rPr>
      <w:rFonts w:asciiTheme="minorHAnsi" w:eastAsia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973A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73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73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Lijstalinea"/>
    <w:next w:val="Standaard"/>
    <w:link w:val="Kop4Char"/>
    <w:uiPriority w:val="9"/>
    <w:unhideWhenUsed/>
    <w:qFormat/>
    <w:rsid w:val="00D33FD3"/>
    <w:pPr>
      <w:ind w:left="431" w:hanging="431"/>
      <w:contextualSpacing/>
      <w:jc w:val="both"/>
      <w:outlineLvl w:val="3"/>
    </w:pPr>
    <w:rPr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33FD3"/>
    <w:pPr>
      <w:keepNext/>
      <w:keepLines/>
      <w:spacing w:before="200"/>
      <w:ind w:left="431" w:hanging="431"/>
      <w:outlineLvl w:val="4"/>
    </w:pPr>
    <w:rPr>
      <w:rFonts w:eastAsiaTheme="majorEastAsia" w:cstheme="majorBidi"/>
      <w:b/>
      <w:sz w:val="3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33FD3"/>
    <w:pPr>
      <w:keepNext/>
      <w:keepLines/>
      <w:spacing w:before="200"/>
      <w:ind w:left="1708" w:hanging="431"/>
      <w:outlineLvl w:val="6"/>
    </w:pPr>
    <w:rPr>
      <w:rFonts w:eastAsiaTheme="majorEastAsia" w:cstheme="majorBidi"/>
      <w:b/>
      <w:iCs/>
      <w:color w:val="404040" w:themeColor="text1" w:themeTint="BF"/>
      <w:sz w:val="3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3FD3"/>
    <w:pPr>
      <w:keepNext/>
      <w:keepLines/>
      <w:spacing w:before="200"/>
      <w:ind w:left="431" w:hanging="431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73AF"/>
    <w:pPr>
      <w:ind w:left="708"/>
    </w:pPr>
  </w:style>
  <w:style w:type="character" w:customStyle="1" w:styleId="Kop1Char">
    <w:name w:val="Kop 1 Char"/>
    <w:link w:val="Kop1"/>
    <w:uiPriority w:val="9"/>
    <w:rsid w:val="001973A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973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1973A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qFormat/>
    <w:rsid w:val="001973AF"/>
    <w:pPr>
      <w:spacing w:after="100"/>
    </w:pPr>
    <w:rPr>
      <w:rFonts w:eastAsia="Times New Roman"/>
      <w:lang w:eastAsia="fr-BE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1973AF"/>
    <w:pPr>
      <w:spacing w:after="100"/>
      <w:ind w:left="220"/>
    </w:pPr>
    <w:rPr>
      <w:rFonts w:eastAsia="Times New Roman"/>
      <w:lang w:eastAsia="fr-BE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qFormat/>
    <w:rsid w:val="001973AF"/>
    <w:pPr>
      <w:spacing w:after="100"/>
      <w:ind w:left="440"/>
    </w:pPr>
    <w:rPr>
      <w:rFonts w:eastAsia="Times New Roman"/>
      <w:lang w:eastAsia="fr-B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973AF"/>
    <w:pPr>
      <w:keepLines/>
      <w:spacing w:before="480" w:after="0"/>
      <w:outlineLvl w:val="9"/>
    </w:pPr>
    <w:rPr>
      <w:color w:val="365F91"/>
      <w:kern w:val="0"/>
      <w:sz w:val="28"/>
      <w:szCs w:val="28"/>
      <w:lang w:eastAsia="fr-BE"/>
    </w:rPr>
  </w:style>
  <w:style w:type="character" w:customStyle="1" w:styleId="Kop4Char">
    <w:name w:val="Kop 4 Char"/>
    <w:basedOn w:val="Standaardalinea-lettertype"/>
    <w:link w:val="Kop4"/>
    <w:uiPriority w:val="9"/>
    <w:rsid w:val="00D33FD3"/>
    <w:rPr>
      <w:rFonts w:asciiTheme="minorHAnsi" w:eastAsiaTheme="minorHAnsi" w:hAnsiTheme="minorHAnsi" w:cstheme="minorBidi"/>
      <w:sz w:val="22"/>
      <w:szCs w:val="22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D33FD3"/>
    <w:rPr>
      <w:rFonts w:asciiTheme="minorHAnsi" w:eastAsiaTheme="majorEastAsia" w:hAnsiTheme="minorHAnsi" w:cstheme="majorBidi"/>
      <w:b/>
      <w:sz w:val="3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D33FD3"/>
    <w:rPr>
      <w:rFonts w:asciiTheme="minorHAnsi" w:eastAsiaTheme="majorEastAsia" w:hAnsiTheme="minorHAnsi" w:cstheme="majorBidi"/>
      <w:b/>
      <w:iCs/>
      <w:color w:val="404040" w:themeColor="text1" w:themeTint="BF"/>
      <w:sz w:val="3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3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1D56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56E8"/>
    <w:rPr>
      <w:rFonts w:asciiTheme="minorHAnsi" w:eastAsiaTheme="minorHAnsi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D56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56E8"/>
    <w:rPr>
      <w:rFonts w:asciiTheme="minorHAnsi" w:eastAsiaTheme="minorHAnsi" w:hAnsiTheme="minorHAnsi" w:cstheme="minorBid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56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56E8"/>
    <w:rPr>
      <w:rFonts w:ascii="Tahoma" w:eastAsiaTheme="minorHAnsi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2B6A93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B6A9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_SLRB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4B7"/>
      </a:accent1>
      <a:accent2>
        <a:srgbClr val="008594"/>
      </a:accent2>
      <a:accent3>
        <a:srgbClr val="3E5B7B"/>
      </a:accent3>
      <a:accent4>
        <a:srgbClr val="E5004D"/>
      </a:accent4>
      <a:accent5>
        <a:srgbClr val="6C496F"/>
      </a:accent5>
      <a:accent6>
        <a:srgbClr val="C8C5C5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36ca8-3775-4e67-8fde-944c9a0b113a">
      <Terms xmlns="http://schemas.microsoft.com/office/infopath/2007/PartnerControls"/>
    </lcf76f155ced4ddcb4097134ff3c332f>
    <TaxCatchAll xmlns="0f4491c0-0eb5-41a8-997a-1b3dad6c562c" xsi:nil="true"/>
    <Th_x00e8_me xmlns="90d36ca8-3775-4e67-8fde-944c9a0b11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9BF2E6D4EC34FBC29E62A15BBF8E8" ma:contentTypeVersion="17" ma:contentTypeDescription="Crée un document." ma:contentTypeScope="" ma:versionID="d3c0195a6c111489345b75d858cb0c39">
  <xsd:schema xmlns:xsd="http://www.w3.org/2001/XMLSchema" xmlns:xs="http://www.w3.org/2001/XMLSchema" xmlns:p="http://schemas.microsoft.com/office/2006/metadata/properties" xmlns:ns2="90d36ca8-3775-4e67-8fde-944c9a0b113a" xmlns:ns3="0f4491c0-0eb5-41a8-997a-1b3dad6c562c" targetNamespace="http://schemas.microsoft.com/office/2006/metadata/properties" ma:root="true" ma:fieldsID="edeb4d1e086fb87375f75d61fcabcf5a" ns2:_="" ns3:_="">
    <xsd:import namespace="90d36ca8-3775-4e67-8fde-944c9a0b113a"/>
    <xsd:import namespace="0f4491c0-0eb5-41a8-997a-1b3dad6c5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6ca8-3775-4e67-8fde-944c9a0b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_x00e8_me" ma:index="24" nillable="true" ma:displayName="Thème" ma:format="Dropdown" ma:internalName="Th_x00e8_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91c0-0eb5-41a8-997a-1b3dad6c5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6d25c4-233f-4957-bac2-18627d3d0db9}" ma:internalName="TaxCatchAll" ma:showField="CatchAllData" ma:web="0f4491c0-0eb5-41a8-997a-1b3dad6c5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55335-BC1E-4D82-A10E-4229AE5E2EF0}">
  <ds:schemaRefs>
    <ds:schemaRef ds:uri="http://schemas.microsoft.com/office/2006/metadata/properties"/>
    <ds:schemaRef ds:uri="http://schemas.microsoft.com/office/infopath/2007/PartnerControls"/>
    <ds:schemaRef ds:uri="90d36ca8-3775-4e67-8fde-944c9a0b113a"/>
    <ds:schemaRef ds:uri="0f4491c0-0eb5-41a8-997a-1b3dad6c562c"/>
  </ds:schemaRefs>
</ds:datastoreItem>
</file>

<file path=customXml/itemProps2.xml><?xml version="1.0" encoding="utf-8"?>
<ds:datastoreItem xmlns:ds="http://schemas.openxmlformats.org/officeDocument/2006/customXml" ds:itemID="{CD4A0140-1BF8-4EBA-A4F7-DBAFD1C1A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7AE40-8DDE-4DB8-B8D1-71D65C789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36ca8-3775-4e67-8fde-944c9a0b113a"/>
    <ds:schemaRef ds:uri="0f4491c0-0eb5-41a8-997a-1b3dad6c5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SLRB BGHM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Ewbank de Wespin</dc:creator>
  <cp:lastModifiedBy>Lies VAN PETEGHEM</cp:lastModifiedBy>
  <cp:revision>15</cp:revision>
  <cp:lastPrinted>2019-01-23T10:52:00Z</cp:lastPrinted>
  <dcterms:created xsi:type="dcterms:W3CDTF">2018-11-09T15:00:00Z</dcterms:created>
  <dcterms:modified xsi:type="dcterms:W3CDTF">2025-08-28T13:36:00Z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0x010100B1D9BF2E6D4EC34FBC29E62A15BBF8E8</vt:lpwstr>
  </property>
  <property fmtid="{D5CDD505-2E9C-101B-9397-08002B2CF9AE}" pid="3" name="MediaServiceImageTags">
    <vt:lpwstr/>
  </property>
</Properties>
</file>