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auGrille4-Accentuation1"/>
        <w:tblW w:w="0" w:type="auto"/>
        <w:tblLook w:val="04A0" w:firstRow="1" w:lastRow="0" w:firstColumn="1" w:lastColumn="0" w:noHBand="0" w:noVBand="1"/>
      </w:tblPr>
      <w:tblGrid>
        <w:gridCol w:w="3206"/>
        <w:gridCol w:w="2770"/>
        <w:gridCol w:w="3086"/>
      </w:tblGrid>
      <w:tr w:rsidR="00947C24" w:rsidRPr="00B1187A" w14:paraId="04B33F6F" w14:textId="77777777" w:rsidTr="03E33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47ACCCE4" w14:textId="291A56C7" w:rsidR="00947C24" w:rsidRPr="00B1187A" w:rsidRDefault="00444C32" w:rsidP="00947C24">
            <w:pPr>
              <w:jc w:val="center"/>
              <w:rPr>
                <w:lang w:val="nl-NL"/>
              </w:rPr>
            </w:pPr>
            <w:r w:rsidRPr="00B1187A">
              <w:rPr>
                <w:lang w:val="nl-NL"/>
              </w:rPr>
              <w:t>Juridische gevolgen</w:t>
            </w:r>
          </w:p>
        </w:tc>
        <w:tc>
          <w:tcPr>
            <w:tcW w:w="2770" w:type="dxa"/>
          </w:tcPr>
          <w:p w14:paraId="42A6A57D" w14:textId="659EC158" w:rsidR="00947C24" w:rsidRPr="00B1187A" w:rsidRDefault="00444C32" w:rsidP="00947C24">
            <w:pPr>
              <w:jc w:val="center"/>
              <w:cnfStyle w:val="100000000000" w:firstRow="1" w:lastRow="0" w:firstColumn="0" w:lastColumn="0" w:oddVBand="0" w:evenVBand="0" w:oddHBand="0" w:evenHBand="0" w:firstRowFirstColumn="0" w:firstRowLastColumn="0" w:lastRowFirstColumn="0" w:lastRowLastColumn="0"/>
              <w:rPr>
                <w:lang w:val="nl-NL"/>
              </w:rPr>
            </w:pPr>
            <w:r w:rsidRPr="00B1187A">
              <w:rPr>
                <w:lang w:val="nl-NL"/>
              </w:rPr>
              <w:t>Gedeeltelijke inbezitneming</w:t>
            </w:r>
          </w:p>
        </w:tc>
        <w:tc>
          <w:tcPr>
            <w:tcW w:w="3086" w:type="dxa"/>
          </w:tcPr>
          <w:p w14:paraId="4B3D2B4E" w14:textId="1CE11A25" w:rsidR="00947C24" w:rsidRPr="00B1187A" w:rsidRDefault="00444C32" w:rsidP="00947C24">
            <w:pPr>
              <w:jc w:val="center"/>
              <w:cnfStyle w:val="100000000000" w:firstRow="1" w:lastRow="0" w:firstColumn="0" w:lastColumn="0" w:oddVBand="0" w:evenVBand="0" w:oddHBand="0" w:evenHBand="0" w:firstRowFirstColumn="0" w:firstRowLastColumn="0" w:lastRowFirstColumn="0" w:lastRowLastColumn="0"/>
              <w:rPr>
                <w:lang w:val="nl-NL"/>
              </w:rPr>
            </w:pPr>
            <w:r w:rsidRPr="00B1187A">
              <w:rPr>
                <w:lang w:val="nl-NL"/>
              </w:rPr>
              <w:t>Gedeeltelijke VO</w:t>
            </w:r>
          </w:p>
        </w:tc>
      </w:tr>
      <w:tr w:rsidR="2948CCCB" w:rsidRPr="00CF665C" w14:paraId="036CE632" w14:textId="77777777" w:rsidTr="03E33C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6" w:type="dxa"/>
          </w:tcPr>
          <w:p w14:paraId="5AC0DDCA" w14:textId="647B477B" w:rsidR="2948CCCB" w:rsidRPr="00B1187A" w:rsidRDefault="2948CCCB" w:rsidP="2948CCCB">
            <w:pPr>
              <w:jc w:val="center"/>
              <w:rPr>
                <w:lang w:val="nl-NL"/>
              </w:rPr>
            </w:pPr>
          </w:p>
        </w:tc>
        <w:tc>
          <w:tcPr>
            <w:tcW w:w="2770" w:type="dxa"/>
          </w:tcPr>
          <w:p w14:paraId="02830343" w14:textId="0A3ECD8C" w:rsidR="27FB5E7E" w:rsidRPr="00B1187A" w:rsidRDefault="27FB5E7E" w:rsidP="2948CCCB">
            <w:pPr>
              <w:jc w:val="cente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 xml:space="preserve">Art. 91 </w:t>
            </w:r>
            <w:r w:rsidR="00444C32" w:rsidRPr="00B1187A">
              <w:rPr>
                <w:lang w:val="nl-NL"/>
              </w:rPr>
              <w:t>van het KB Uitvoering</w:t>
            </w:r>
          </w:p>
        </w:tc>
        <w:tc>
          <w:tcPr>
            <w:tcW w:w="3086" w:type="dxa"/>
          </w:tcPr>
          <w:p w14:paraId="4E3BE3DC" w14:textId="49AFAA90" w:rsidR="2948CCCB" w:rsidRPr="00B1187A" w:rsidRDefault="65D0C7EF" w:rsidP="2948CCCB">
            <w:pPr>
              <w:jc w:val="cente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Art</w:t>
            </w:r>
            <w:r w:rsidR="2FC3DB7A" w:rsidRPr="00B1187A">
              <w:rPr>
                <w:lang w:val="nl-NL"/>
              </w:rPr>
              <w:t>. 64 e</w:t>
            </w:r>
            <w:r w:rsidR="00444C32" w:rsidRPr="00B1187A">
              <w:rPr>
                <w:lang w:val="nl-NL"/>
              </w:rPr>
              <w:t>n</w:t>
            </w:r>
            <w:r w:rsidR="2FC3DB7A" w:rsidRPr="00B1187A">
              <w:rPr>
                <w:lang w:val="nl-NL"/>
              </w:rPr>
              <w:t xml:space="preserve"> 91-92 </w:t>
            </w:r>
            <w:r w:rsidR="00444C32" w:rsidRPr="00B1187A">
              <w:rPr>
                <w:lang w:val="nl-NL"/>
              </w:rPr>
              <w:t>van het KB Uitvoering</w:t>
            </w:r>
          </w:p>
        </w:tc>
      </w:tr>
      <w:tr w:rsidR="00947C24" w:rsidRPr="00B1187A" w14:paraId="45783DDA" w14:textId="77777777" w:rsidTr="03E33C42">
        <w:trPr>
          <w:trHeight w:val="735"/>
        </w:trPr>
        <w:tc>
          <w:tcPr>
            <w:cnfStyle w:val="001000000000" w:firstRow="0" w:lastRow="0" w:firstColumn="1" w:lastColumn="0" w:oddVBand="0" w:evenVBand="0" w:oddHBand="0" w:evenHBand="0" w:firstRowFirstColumn="0" w:firstRowLastColumn="0" w:lastRowFirstColumn="0" w:lastRowLastColumn="0"/>
            <w:tcW w:w="3206" w:type="dxa"/>
          </w:tcPr>
          <w:p w14:paraId="6B952E9B" w14:textId="47E3730E" w:rsidR="00947C24" w:rsidRPr="00B1187A" w:rsidRDefault="00444C32">
            <w:pPr>
              <w:rPr>
                <w:lang w:val="nl-NL"/>
              </w:rPr>
            </w:pPr>
            <w:r w:rsidRPr="00B1187A">
              <w:rPr>
                <w:lang w:val="nl-NL"/>
              </w:rPr>
              <w:t>Borgstelling</w:t>
            </w:r>
          </w:p>
        </w:tc>
        <w:tc>
          <w:tcPr>
            <w:tcW w:w="2770" w:type="dxa"/>
          </w:tcPr>
          <w:p w14:paraId="1D8F9456" w14:textId="0E1C7D32" w:rsidR="00947C24" w:rsidRPr="00B1187A" w:rsidRDefault="00D32F9D">
            <w:pPr>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Geen vrijgave</w:t>
            </w:r>
          </w:p>
        </w:tc>
        <w:tc>
          <w:tcPr>
            <w:tcW w:w="3086" w:type="dxa"/>
          </w:tcPr>
          <w:p w14:paraId="5529F3BB" w14:textId="5624BA6E" w:rsidR="00947C24" w:rsidRPr="00B1187A" w:rsidRDefault="00CC1E6D">
            <w:pPr>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Gedeeltelijke vrijgav</w:t>
            </w:r>
            <w:r w:rsidR="647DF85C" w:rsidRPr="00B1187A">
              <w:rPr>
                <w:lang w:val="nl-NL"/>
              </w:rPr>
              <w:t>e</w:t>
            </w:r>
          </w:p>
        </w:tc>
      </w:tr>
      <w:tr w:rsidR="00947C24" w:rsidRPr="00CF665C" w14:paraId="44D32BEB" w14:textId="77777777" w:rsidTr="03E33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30E9A3C5" w14:textId="2109FA58" w:rsidR="00947C24" w:rsidRPr="00B1187A" w:rsidRDefault="00444C32">
            <w:pPr>
              <w:rPr>
                <w:lang w:val="nl-NL"/>
              </w:rPr>
            </w:pPr>
            <w:r w:rsidRPr="00B1187A">
              <w:rPr>
                <w:lang w:val="nl-NL"/>
              </w:rPr>
              <w:t>Waarborgtermijn, inclusief tienjarige waarborg</w:t>
            </w:r>
            <w:r w:rsidR="00947C24" w:rsidRPr="00B1187A">
              <w:rPr>
                <w:lang w:val="nl-NL"/>
              </w:rPr>
              <w:t xml:space="preserve"> </w:t>
            </w:r>
          </w:p>
        </w:tc>
        <w:tc>
          <w:tcPr>
            <w:tcW w:w="2770" w:type="dxa"/>
          </w:tcPr>
          <w:p w14:paraId="668B1EE7" w14:textId="5C0CBAD3" w:rsidR="00947C24"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De waarborgtermijn gaat niet in</w:t>
            </w:r>
            <w:r w:rsidR="00947C24" w:rsidRPr="00B1187A">
              <w:rPr>
                <w:lang w:val="nl-NL"/>
              </w:rPr>
              <w:t xml:space="preserve"> </w:t>
            </w:r>
          </w:p>
        </w:tc>
        <w:tc>
          <w:tcPr>
            <w:tcW w:w="3086" w:type="dxa"/>
          </w:tcPr>
          <w:p w14:paraId="0E3C92AA" w14:textId="25C11BB7" w:rsidR="00947C24"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Na elke gedeeltelijke oplevering begint een waarborgtermijn. De totale VO vindt plaats bij de laatste gedeeltelijke VO</w:t>
            </w:r>
            <w:r w:rsidR="1C8A94D0" w:rsidRPr="00B1187A">
              <w:rPr>
                <w:lang w:val="nl-NL"/>
              </w:rPr>
              <w:t>.</w:t>
            </w:r>
          </w:p>
        </w:tc>
      </w:tr>
      <w:tr w:rsidR="00947C24" w:rsidRPr="00CF665C" w14:paraId="15E4E14F" w14:textId="77777777" w:rsidTr="03E33C42">
        <w:tc>
          <w:tcPr>
            <w:cnfStyle w:val="001000000000" w:firstRow="0" w:lastRow="0" w:firstColumn="1" w:lastColumn="0" w:oddVBand="0" w:evenVBand="0" w:oddHBand="0" w:evenHBand="0" w:firstRowFirstColumn="0" w:firstRowLastColumn="0" w:lastRowFirstColumn="0" w:lastRowLastColumn="0"/>
            <w:tcW w:w="3206" w:type="dxa"/>
          </w:tcPr>
          <w:p w14:paraId="7448BDFE" w14:textId="49B9EF85" w:rsidR="00947C24" w:rsidRPr="00B1187A" w:rsidRDefault="00444C32">
            <w:pPr>
              <w:rPr>
                <w:lang w:val="nl-NL"/>
              </w:rPr>
            </w:pPr>
            <w:r w:rsidRPr="00B1187A">
              <w:rPr>
                <w:lang w:val="nl-NL"/>
              </w:rPr>
              <w:t>Aansprakelijkheid van de AA</w:t>
            </w:r>
          </w:p>
        </w:tc>
        <w:tc>
          <w:tcPr>
            <w:tcW w:w="2770" w:type="dxa"/>
          </w:tcPr>
          <w:p w14:paraId="0967AA4F" w14:textId="5606A720" w:rsidR="00947C24" w:rsidRPr="00B1187A" w:rsidRDefault="00CC1E6D">
            <w:pPr>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 xml:space="preserve">Blijft aansprakelijk, behalve voor schade veroorzaakt door </w:t>
            </w:r>
            <w:r w:rsidRPr="00B1187A">
              <w:rPr>
                <w:u w:val="single"/>
                <w:lang w:val="nl-NL"/>
              </w:rPr>
              <w:t>het gebruik</w:t>
            </w:r>
            <w:r w:rsidR="2BA87EA6" w:rsidRPr="00B1187A">
              <w:rPr>
                <w:u w:val="single"/>
                <w:lang w:val="nl-NL"/>
              </w:rPr>
              <w:t>.</w:t>
            </w:r>
          </w:p>
          <w:p w14:paraId="52740929" w14:textId="7CE7472B" w:rsidR="00947C24" w:rsidRPr="00B1187A" w:rsidRDefault="00947C24" w:rsidP="3DD0AF1F">
            <w:pPr>
              <w:cnfStyle w:val="000000000000" w:firstRow="0" w:lastRow="0" w:firstColumn="0" w:lastColumn="0" w:oddVBand="0" w:evenVBand="0" w:oddHBand="0" w:evenHBand="0" w:firstRowFirstColumn="0" w:firstRowLastColumn="0" w:lastRowFirstColumn="0" w:lastRowLastColumn="0"/>
              <w:rPr>
                <w:u w:val="single"/>
                <w:lang w:val="nl-NL"/>
              </w:rPr>
            </w:pPr>
          </w:p>
          <w:p w14:paraId="0362749E" w14:textId="7E580D07" w:rsidR="00947C24" w:rsidRPr="00B1187A" w:rsidRDefault="00947C24" w:rsidP="3DD0AF1F">
            <w:pPr>
              <w:cnfStyle w:val="000000000000" w:firstRow="0" w:lastRow="0" w:firstColumn="0" w:lastColumn="0" w:oddVBand="0" w:evenVBand="0" w:oddHBand="0" w:evenHBand="0" w:firstRowFirstColumn="0" w:firstRowLastColumn="0" w:lastRowFirstColumn="0" w:lastRowLastColumn="0"/>
              <w:rPr>
                <w:u w:val="single"/>
                <w:lang w:val="nl-NL"/>
              </w:rPr>
            </w:pPr>
          </w:p>
          <w:p w14:paraId="7743EC54" w14:textId="093BF736" w:rsidR="00947C24" w:rsidRPr="00B1187A" w:rsidRDefault="00947C24" w:rsidP="3DD0AF1F">
            <w:pPr>
              <w:cnfStyle w:val="000000000000" w:firstRow="0" w:lastRow="0" w:firstColumn="0" w:lastColumn="0" w:oddVBand="0" w:evenVBand="0" w:oddHBand="0" w:evenHBand="0" w:firstRowFirstColumn="0" w:firstRowLastColumn="0" w:lastRowFirstColumn="0" w:lastRowLastColumn="0"/>
              <w:rPr>
                <w:u w:val="single"/>
                <w:lang w:val="nl-NL"/>
              </w:rPr>
            </w:pPr>
          </w:p>
          <w:p w14:paraId="26077863" w14:textId="64ED8CB0" w:rsidR="00947C24" w:rsidRPr="00B1187A" w:rsidRDefault="00947C24" w:rsidP="3DD0AF1F">
            <w:pPr>
              <w:cnfStyle w:val="000000000000" w:firstRow="0" w:lastRow="0" w:firstColumn="0" w:lastColumn="0" w:oddVBand="0" w:evenVBand="0" w:oddHBand="0" w:evenHBand="0" w:firstRowFirstColumn="0" w:firstRowLastColumn="0" w:lastRowFirstColumn="0" w:lastRowLastColumn="0"/>
              <w:rPr>
                <w:u w:val="single"/>
                <w:lang w:val="nl-NL"/>
              </w:rPr>
            </w:pPr>
          </w:p>
        </w:tc>
        <w:tc>
          <w:tcPr>
            <w:tcW w:w="3086" w:type="dxa"/>
          </w:tcPr>
          <w:p w14:paraId="31736C12" w14:textId="581B92F8" w:rsidR="00947C24" w:rsidRPr="00B1187A" w:rsidRDefault="00CC1E6D">
            <w:pPr>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Is niet meer aansprakelijk voor gebruiksschade.</w:t>
            </w:r>
          </w:p>
          <w:p w14:paraId="25ADC17F" w14:textId="100C512F" w:rsidR="00947C24" w:rsidRPr="00B1187A" w:rsidRDefault="00CC1E6D" w:rsidP="00CC1E6D">
            <w:pPr>
              <w:spacing w:after="160" w:line="259" w:lineRule="auto"/>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 xml:space="preserve">De aannemer is niet aansprakelijk voor schade waarvoor hij niet </w:t>
            </w:r>
            <w:r w:rsidR="00C73161">
              <w:rPr>
                <w:lang w:val="nl-NL"/>
              </w:rPr>
              <w:t xml:space="preserve">de </w:t>
            </w:r>
            <w:r w:rsidRPr="00B1187A">
              <w:rPr>
                <w:lang w:val="nl-NL"/>
              </w:rPr>
              <w:t>s</w:t>
            </w:r>
            <w:r w:rsidR="00C73161">
              <w:rPr>
                <w:lang w:val="nl-NL"/>
              </w:rPr>
              <w:t>chuld draagt</w:t>
            </w:r>
            <w:r w:rsidRPr="00B1187A">
              <w:rPr>
                <w:lang w:val="nl-NL"/>
              </w:rPr>
              <w:t>. Na de gedeeltelijke VO kan men zich nog beroepen op verborgen gebreken, maar niet meer op zichtbare gebreken</w:t>
            </w:r>
            <w:r w:rsidR="002C8D40" w:rsidRPr="00B1187A">
              <w:rPr>
                <w:lang w:val="nl-NL"/>
              </w:rPr>
              <w:t>.</w:t>
            </w:r>
          </w:p>
        </w:tc>
      </w:tr>
      <w:tr w:rsidR="00947C24" w:rsidRPr="00CF665C" w14:paraId="729AC276" w14:textId="77777777" w:rsidTr="03E33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60D3E4BF" w14:textId="3BFF9385" w:rsidR="00947C24" w:rsidRPr="00B1187A" w:rsidRDefault="00444C32">
            <w:pPr>
              <w:rPr>
                <w:lang w:val="nl-NL"/>
              </w:rPr>
            </w:pPr>
            <w:r w:rsidRPr="00B1187A">
              <w:rPr>
                <w:lang w:val="nl-NL"/>
              </w:rPr>
              <w:t>Schade als gevolg van overmacht</w:t>
            </w:r>
          </w:p>
        </w:tc>
        <w:tc>
          <w:tcPr>
            <w:tcW w:w="2770" w:type="dxa"/>
          </w:tcPr>
          <w:p w14:paraId="3BFB7025" w14:textId="673901EC" w:rsidR="00947C24"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Kan verplicht worden om in te grijpen via art. 38/9 van het KB Uitvoering met betrekking tot onvoorziene omstandigheden in hoofde van de opdrachtnemer (zie artikel</w:t>
            </w:r>
            <w:r w:rsidR="49E30780" w:rsidRPr="00B1187A">
              <w:rPr>
                <w:lang w:val="nl-NL"/>
              </w:rPr>
              <w:t>)</w:t>
            </w:r>
          </w:p>
        </w:tc>
        <w:tc>
          <w:tcPr>
            <w:tcW w:w="3086" w:type="dxa"/>
          </w:tcPr>
          <w:p w14:paraId="3809FF7A" w14:textId="28C752DB" w:rsidR="00947C24"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 xml:space="preserve">Schade die het gevolg is van een toevallige gebeurtenis, overmacht of abnormaal gebruik van de geleverde producten is </w:t>
            </w:r>
            <w:r w:rsidRPr="00B1187A">
              <w:rPr>
                <w:u w:val="single"/>
                <w:lang w:val="nl-NL"/>
              </w:rPr>
              <w:t>uitgesloten</w:t>
            </w:r>
            <w:r w:rsidRPr="00B1187A">
              <w:rPr>
                <w:lang w:val="nl-NL"/>
              </w:rPr>
              <w:t xml:space="preserve"> van de waarborg, tenzij bij het voorgevallen ongeval een slechte uitvoering of een gebrek aan het licht</w:t>
            </w:r>
            <w:r w:rsidR="00E46D95">
              <w:rPr>
                <w:lang w:val="nl-NL"/>
              </w:rPr>
              <w:t xml:space="preserve"> wordt</w:t>
            </w:r>
            <w:r w:rsidRPr="00B1187A">
              <w:rPr>
                <w:lang w:val="nl-NL"/>
              </w:rPr>
              <w:t xml:space="preserve"> </w:t>
            </w:r>
            <w:r w:rsidR="00E46D95">
              <w:rPr>
                <w:lang w:val="nl-NL"/>
              </w:rPr>
              <w:t>ge</w:t>
            </w:r>
            <w:r w:rsidRPr="00B1187A">
              <w:rPr>
                <w:lang w:val="nl-NL"/>
              </w:rPr>
              <w:t>br</w:t>
            </w:r>
            <w:r w:rsidR="00E46D95">
              <w:rPr>
                <w:lang w:val="nl-NL"/>
              </w:rPr>
              <w:t>ach</w:t>
            </w:r>
            <w:r w:rsidRPr="00B1187A">
              <w:rPr>
                <w:lang w:val="nl-NL"/>
              </w:rPr>
              <w:t xml:space="preserve">t dat </w:t>
            </w:r>
            <w:r w:rsidR="008F29B2" w:rsidRPr="00B1187A">
              <w:rPr>
                <w:lang w:val="nl-NL"/>
              </w:rPr>
              <w:t>van dien aard</w:t>
            </w:r>
            <w:r w:rsidRPr="00B1187A">
              <w:rPr>
                <w:lang w:val="nl-NL"/>
              </w:rPr>
              <w:t xml:space="preserve"> is dat de vervanging gerechtvaardigd is</w:t>
            </w:r>
            <w:r w:rsidR="00947C24" w:rsidRPr="00B1187A">
              <w:rPr>
                <w:lang w:val="nl-NL"/>
              </w:rPr>
              <w:t>.</w:t>
            </w:r>
          </w:p>
        </w:tc>
      </w:tr>
      <w:tr w:rsidR="00947C24" w:rsidRPr="00E46D95" w14:paraId="26831630" w14:textId="77777777" w:rsidTr="03E33C42">
        <w:tc>
          <w:tcPr>
            <w:cnfStyle w:val="001000000000" w:firstRow="0" w:lastRow="0" w:firstColumn="1" w:lastColumn="0" w:oddVBand="0" w:evenVBand="0" w:oddHBand="0" w:evenHBand="0" w:firstRowFirstColumn="0" w:firstRowLastColumn="0" w:lastRowFirstColumn="0" w:lastRowLastColumn="0"/>
            <w:tcW w:w="3206" w:type="dxa"/>
          </w:tcPr>
          <w:p w14:paraId="66E02EC0" w14:textId="4E37291B" w:rsidR="00947C24" w:rsidRPr="00B1187A" w:rsidRDefault="00947C24">
            <w:pPr>
              <w:rPr>
                <w:lang w:val="nl-NL"/>
              </w:rPr>
            </w:pPr>
            <w:r w:rsidRPr="00B1187A">
              <w:rPr>
                <w:lang w:val="nl-NL"/>
              </w:rPr>
              <w:t>Formali</w:t>
            </w:r>
            <w:r w:rsidR="00444C32" w:rsidRPr="00B1187A">
              <w:rPr>
                <w:lang w:val="nl-NL"/>
              </w:rPr>
              <w:t>teiten</w:t>
            </w:r>
          </w:p>
        </w:tc>
        <w:tc>
          <w:tcPr>
            <w:tcW w:w="2770" w:type="dxa"/>
          </w:tcPr>
          <w:p w14:paraId="416E5930" w14:textId="457E0C7A" w:rsidR="00947C24" w:rsidRPr="00B1187A" w:rsidRDefault="00CC1E6D">
            <w:pPr>
              <w:cnfStyle w:val="000000000000" w:firstRow="0" w:lastRow="0" w:firstColumn="0" w:lastColumn="0" w:oddVBand="0" w:evenVBand="0" w:oddHBand="0" w:evenHBand="0" w:firstRowFirstColumn="0" w:firstRowLastColumn="0" w:lastRowFirstColumn="0" w:lastRowLastColumn="0"/>
              <w:rPr>
                <w:lang w:val="nl-NL"/>
              </w:rPr>
            </w:pPr>
            <w:r w:rsidRPr="00B1187A">
              <w:rPr>
                <w:lang w:val="nl-NL"/>
              </w:rPr>
              <w:t>Uit te voeren tegenstelbare plaatsbeschrijving</w:t>
            </w:r>
          </w:p>
        </w:tc>
        <w:tc>
          <w:tcPr>
            <w:tcW w:w="3086" w:type="dxa"/>
          </w:tcPr>
          <w:p w14:paraId="41604D52" w14:textId="216227FA" w:rsidR="00947C24" w:rsidRPr="00B1187A" w:rsidRDefault="00CF665C">
            <w:pPr>
              <w:cnfStyle w:val="000000000000" w:firstRow="0" w:lastRow="0" w:firstColumn="0" w:lastColumn="0" w:oddVBand="0" w:evenVBand="0" w:oddHBand="0" w:evenHBand="0" w:firstRowFirstColumn="0" w:firstRowLastColumn="0" w:lastRowFirstColumn="0" w:lastRowLastColumn="0"/>
              <w:rPr>
                <w:lang w:val="nl-NL"/>
              </w:rPr>
            </w:pPr>
            <w:r>
              <w:rPr>
                <w:lang w:val="nl-NL"/>
              </w:rPr>
              <w:t>P</w:t>
            </w:r>
            <w:r w:rsidR="00947C24" w:rsidRPr="00B1187A">
              <w:rPr>
                <w:lang w:val="nl-NL"/>
              </w:rPr>
              <w:t>I</w:t>
            </w:r>
            <w:r>
              <w:rPr>
                <w:lang w:val="nl-NL"/>
              </w:rPr>
              <w:t>D</w:t>
            </w:r>
            <w:r w:rsidR="00947C24" w:rsidRPr="00B1187A">
              <w:rPr>
                <w:lang w:val="nl-NL"/>
              </w:rPr>
              <w:t xml:space="preserve">, DV10, PV </w:t>
            </w:r>
            <w:r w:rsidR="00CC1E6D" w:rsidRPr="00B1187A">
              <w:rPr>
                <w:lang w:val="nl-NL"/>
              </w:rPr>
              <w:t>van oplevering</w:t>
            </w:r>
          </w:p>
        </w:tc>
      </w:tr>
      <w:tr w:rsidR="00A930FB" w:rsidRPr="00CF665C" w14:paraId="4026B06E" w14:textId="77777777" w:rsidTr="03E33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6" w:type="dxa"/>
          </w:tcPr>
          <w:p w14:paraId="112D15F9" w14:textId="06E95F8B" w:rsidR="00A930FB" w:rsidRPr="00B1187A" w:rsidRDefault="00444C32">
            <w:pPr>
              <w:rPr>
                <w:lang w:val="nl-NL"/>
              </w:rPr>
            </w:pPr>
            <w:r w:rsidRPr="00B1187A">
              <w:rPr>
                <w:lang w:val="nl-NL"/>
              </w:rPr>
              <w:t xml:space="preserve">Wanneer </w:t>
            </w:r>
            <w:r w:rsidR="008F29B2" w:rsidRPr="00B1187A">
              <w:rPr>
                <w:lang w:val="nl-NL"/>
              </w:rPr>
              <w:t>plannen?</w:t>
            </w:r>
          </w:p>
        </w:tc>
        <w:tc>
          <w:tcPr>
            <w:tcW w:w="2770" w:type="dxa"/>
          </w:tcPr>
          <w:p w14:paraId="09B09C18" w14:textId="181DD476" w:rsidR="00A930FB"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Kan worden beslist tijdens de uitvoering</w:t>
            </w:r>
          </w:p>
        </w:tc>
        <w:tc>
          <w:tcPr>
            <w:tcW w:w="3086" w:type="dxa"/>
          </w:tcPr>
          <w:p w14:paraId="576105C1" w14:textId="0E8F32A5" w:rsidR="00A930FB" w:rsidRPr="00B1187A" w:rsidRDefault="00CC1E6D">
            <w:pPr>
              <w:cnfStyle w:val="000000100000" w:firstRow="0" w:lastRow="0" w:firstColumn="0" w:lastColumn="0" w:oddVBand="0" w:evenVBand="0" w:oddHBand="1" w:evenHBand="0" w:firstRowFirstColumn="0" w:firstRowLastColumn="0" w:lastRowFirstColumn="0" w:lastRowLastColumn="0"/>
              <w:rPr>
                <w:lang w:val="nl-NL"/>
              </w:rPr>
            </w:pPr>
            <w:r w:rsidRPr="00B1187A">
              <w:rPr>
                <w:lang w:val="nl-NL"/>
              </w:rPr>
              <w:t>Moet worden bepaald in de opdracht</w:t>
            </w:r>
            <w:r w:rsidR="6E22ECF9" w:rsidRPr="00B1187A">
              <w:rPr>
                <w:lang w:val="nl-NL"/>
              </w:rPr>
              <w:t>document</w:t>
            </w:r>
            <w:r w:rsidRPr="00B1187A">
              <w:rPr>
                <w:lang w:val="nl-NL"/>
              </w:rPr>
              <w:t>en</w:t>
            </w:r>
          </w:p>
        </w:tc>
      </w:tr>
    </w:tbl>
    <w:p w14:paraId="1E4346DC" w14:textId="77777777" w:rsidR="00EB5DB5" w:rsidRPr="00B1187A" w:rsidRDefault="00EB5DB5">
      <w:pPr>
        <w:rPr>
          <w:lang w:val="nl-NL"/>
        </w:rPr>
      </w:pPr>
    </w:p>
    <w:p w14:paraId="7559C575" w14:textId="77777777" w:rsidR="00947C24" w:rsidRPr="00B1187A" w:rsidRDefault="00947C24">
      <w:pPr>
        <w:rPr>
          <w:lang w:val="nl-NL"/>
        </w:rPr>
      </w:pPr>
    </w:p>
    <w:p w14:paraId="631F7DB4" w14:textId="755EA25D" w:rsidR="00947C24" w:rsidRPr="00B1187A" w:rsidRDefault="00CC1E6D">
      <w:pPr>
        <w:rPr>
          <w:lang w:val="nl-NL"/>
        </w:rPr>
      </w:pPr>
      <w:r w:rsidRPr="00B1187A">
        <w:rPr>
          <w:b/>
          <w:bCs/>
          <w:u w:val="single"/>
          <w:lang w:val="nl-NL"/>
        </w:rPr>
        <w:t>Aandachtspunte</w:t>
      </w:r>
      <w:r w:rsidR="00514453" w:rsidRPr="00B1187A">
        <w:rPr>
          <w:b/>
          <w:bCs/>
          <w:u w:val="single"/>
          <w:lang w:val="nl-NL"/>
        </w:rPr>
        <w:t>n</w:t>
      </w:r>
      <w:r w:rsidR="00514453" w:rsidRPr="00B1187A">
        <w:rPr>
          <w:lang w:val="nl-NL"/>
        </w:rPr>
        <w:t xml:space="preserve">: </w:t>
      </w:r>
    </w:p>
    <w:p w14:paraId="467CB333" w14:textId="6BC708D5" w:rsidR="00514453" w:rsidRPr="00B1187A" w:rsidRDefault="00B1187A" w:rsidP="00951674">
      <w:pPr>
        <w:pStyle w:val="Paragraphedeliste"/>
        <w:numPr>
          <w:ilvl w:val="0"/>
          <w:numId w:val="1"/>
        </w:numPr>
        <w:jc w:val="both"/>
        <w:rPr>
          <w:lang w:val="nl-NL"/>
        </w:rPr>
      </w:pPr>
      <w:r w:rsidRPr="00B1187A">
        <w:rPr>
          <w:lang w:val="nl-NL"/>
        </w:rPr>
        <w:t xml:space="preserve">De gedeeltelijke VO is niet geschikt voor alle bouwplaatsen. Er wordt afgeraden het te gebruiken voor opeenvolgende opleveringen binnen hetzelfde gebouw (bv. verschillende woningen die afzonderlijk worden opgeleverd). Als de werken echter betrekking hebben op meerdere gebouwen die </w:t>
      </w:r>
      <w:r w:rsidRPr="00B1187A">
        <w:rPr>
          <w:u w:val="single"/>
          <w:lang w:val="nl-NL"/>
        </w:rPr>
        <w:t xml:space="preserve">geografisch van elkaar </w:t>
      </w:r>
      <w:r w:rsidRPr="00B1187A">
        <w:rPr>
          <w:b/>
          <w:bCs/>
          <w:u w:val="single"/>
          <w:lang w:val="nl-NL"/>
        </w:rPr>
        <w:t>gescheiden</w:t>
      </w:r>
      <w:r w:rsidRPr="00B1187A">
        <w:rPr>
          <w:u w:val="single"/>
          <w:lang w:val="nl-NL"/>
        </w:rPr>
        <w:t xml:space="preserve"> zijn</w:t>
      </w:r>
      <w:r w:rsidRPr="00B1187A">
        <w:rPr>
          <w:lang w:val="nl-NL"/>
        </w:rPr>
        <w:t xml:space="preserve"> (of scheiding mogelijk maken), kan de gedeeltelijke VO worden overwogen</w:t>
      </w:r>
      <w:r w:rsidR="00E745AC" w:rsidRPr="00B1187A">
        <w:rPr>
          <w:lang w:val="nl-NL"/>
        </w:rPr>
        <w:t xml:space="preserve">. </w:t>
      </w:r>
    </w:p>
    <w:p w14:paraId="37584D6C" w14:textId="7065D06B" w:rsidR="000C6361" w:rsidRPr="00B1187A" w:rsidRDefault="00B1187A" w:rsidP="00951674">
      <w:pPr>
        <w:pStyle w:val="Paragraphedeliste"/>
        <w:numPr>
          <w:ilvl w:val="0"/>
          <w:numId w:val="1"/>
        </w:numPr>
        <w:jc w:val="both"/>
        <w:rPr>
          <w:lang w:val="nl-NL"/>
        </w:rPr>
      </w:pPr>
      <w:r w:rsidRPr="00B1187A">
        <w:rPr>
          <w:lang w:val="nl-NL"/>
        </w:rPr>
        <w:t>Het voorzien in ge</w:t>
      </w:r>
      <w:r w:rsidR="00C73161">
        <w:rPr>
          <w:lang w:val="nl-NL"/>
        </w:rPr>
        <w:t>ldende ge</w:t>
      </w:r>
      <w:r w:rsidRPr="00B1187A">
        <w:rPr>
          <w:lang w:val="nl-NL"/>
        </w:rPr>
        <w:t>deeltelijke termijnen is niet noodzakelijk gelijk aan gedeeltelijke inbezitneming</w:t>
      </w:r>
      <w:r w:rsidR="00E46D95">
        <w:rPr>
          <w:lang w:val="nl-NL"/>
        </w:rPr>
        <w:t>en</w:t>
      </w:r>
      <w:r w:rsidRPr="00B1187A">
        <w:rPr>
          <w:lang w:val="nl-NL"/>
        </w:rPr>
        <w:t>/gedeeltelijke VO</w:t>
      </w:r>
      <w:r w:rsidR="004A4C98" w:rsidRPr="00B1187A">
        <w:rPr>
          <w:lang w:val="nl-NL"/>
        </w:rPr>
        <w:t>.</w:t>
      </w:r>
    </w:p>
    <w:p w14:paraId="777DAD7F" w14:textId="39024D4C" w:rsidR="2856E0F8" w:rsidRPr="00893B12" w:rsidRDefault="00B1187A" w:rsidP="00893B12">
      <w:pPr>
        <w:pStyle w:val="Paragraphedeliste"/>
        <w:numPr>
          <w:ilvl w:val="0"/>
          <w:numId w:val="1"/>
        </w:numPr>
        <w:jc w:val="both"/>
        <w:rPr>
          <w:lang w:val="nl-NL"/>
        </w:rPr>
      </w:pPr>
      <w:r w:rsidRPr="00B1187A">
        <w:rPr>
          <w:lang w:val="nl-NL"/>
        </w:rPr>
        <w:lastRenderedPageBreak/>
        <w:t>In het geval van gedeeltelijke inbezitneming moet een eigenaar die zijn eigendom verhuurt dat nog in aanbouw is, verzekerd zijn tegen eventuele risico's</w:t>
      </w:r>
      <w:r w:rsidR="77AF284F" w:rsidRPr="00B1187A">
        <w:rPr>
          <w:lang w:val="nl-NL"/>
        </w:rPr>
        <w:t xml:space="preserve">. </w:t>
      </w:r>
    </w:p>
    <w:sectPr w:rsidR="2856E0F8" w:rsidRPr="00893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75F95"/>
    <w:multiLevelType w:val="hybridMultilevel"/>
    <w:tmpl w:val="0E0061DA"/>
    <w:lvl w:ilvl="0" w:tplc="317A64C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434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24"/>
    <w:rsid w:val="00013A34"/>
    <w:rsid w:val="000C6361"/>
    <w:rsid w:val="00144DFA"/>
    <w:rsid w:val="002C8D40"/>
    <w:rsid w:val="003E2142"/>
    <w:rsid w:val="00444C32"/>
    <w:rsid w:val="004A4C98"/>
    <w:rsid w:val="00514453"/>
    <w:rsid w:val="008359AD"/>
    <w:rsid w:val="00893B12"/>
    <w:rsid w:val="008D00CD"/>
    <w:rsid w:val="008F29B2"/>
    <w:rsid w:val="008F40BE"/>
    <w:rsid w:val="00934EFE"/>
    <w:rsid w:val="00947C24"/>
    <w:rsid w:val="00951674"/>
    <w:rsid w:val="0099481D"/>
    <w:rsid w:val="009E54C2"/>
    <w:rsid w:val="00A10F75"/>
    <w:rsid w:val="00A208C2"/>
    <w:rsid w:val="00A70FFF"/>
    <w:rsid w:val="00A930FB"/>
    <w:rsid w:val="00B0299A"/>
    <w:rsid w:val="00B1187A"/>
    <w:rsid w:val="00C73161"/>
    <w:rsid w:val="00CC1E6D"/>
    <w:rsid w:val="00CF665C"/>
    <w:rsid w:val="00D32F9D"/>
    <w:rsid w:val="00D5211E"/>
    <w:rsid w:val="00E46D95"/>
    <w:rsid w:val="00E745AC"/>
    <w:rsid w:val="00EA52C6"/>
    <w:rsid w:val="00EB5DB5"/>
    <w:rsid w:val="03A681C9"/>
    <w:rsid w:val="03E33C42"/>
    <w:rsid w:val="0655C2BB"/>
    <w:rsid w:val="067C7752"/>
    <w:rsid w:val="0A78B254"/>
    <w:rsid w:val="0B7C8918"/>
    <w:rsid w:val="0BC29DE6"/>
    <w:rsid w:val="0C206ED1"/>
    <w:rsid w:val="0C279DA0"/>
    <w:rsid w:val="0C876B67"/>
    <w:rsid w:val="0EF427A8"/>
    <w:rsid w:val="0F0B2A89"/>
    <w:rsid w:val="0F8C8CCE"/>
    <w:rsid w:val="10722E49"/>
    <w:rsid w:val="1103556F"/>
    <w:rsid w:val="1107DE42"/>
    <w:rsid w:val="119C9319"/>
    <w:rsid w:val="162B35CA"/>
    <w:rsid w:val="19108D2B"/>
    <w:rsid w:val="1C4F5100"/>
    <w:rsid w:val="1C8A94D0"/>
    <w:rsid w:val="1D7062C3"/>
    <w:rsid w:val="1DE85D56"/>
    <w:rsid w:val="2423580E"/>
    <w:rsid w:val="24853EC3"/>
    <w:rsid w:val="25674213"/>
    <w:rsid w:val="25861EBD"/>
    <w:rsid w:val="27A284B8"/>
    <w:rsid w:val="27D70D42"/>
    <w:rsid w:val="27FB5E7E"/>
    <w:rsid w:val="2856E0F8"/>
    <w:rsid w:val="28C011A5"/>
    <w:rsid w:val="2948CCCB"/>
    <w:rsid w:val="2A05D123"/>
    <w:rsid w:val="2AA55ED9"/>
    <w:rsid w:val="2B12F38B"/>
    <w:rsid w:val="2B3986A3"/>
    <w:rsid w:val="2BA87EA6"/>
    <w:rsid w:val="2BAF0210"/>
    <w:rsid w:val="2C25B4A6"/>
    <w:rsid w:val="2E4CE420"/>
    <w:rsid w:val="2F16BA91"/>
    <w:rsid w:val="2FC3DB7A"/>
    <w:rsid w:val="30556E89"/>
    <w:rsid w:val="31FA062F"/>
    <w:rsid w:val="320D52B1"/>
    <w:rsid w:val="32C5DEAE"/>
    <w:rsid w:val="334C22DC"/>
    <w:rsid w:val="341A53EC"/>
    <w:rsid w:val="3502133B"/>
    <w:rsid w:val="382DF34F"/>
    <w:rsid w:val="38B41A15"/>
    <w:rsid w:val="3AAADB1C"/>
    <w:rsid w:val="3AFEE9E6"/>
    <w:rsid w:val="3CA38CB3"/>
    <w:rsid w:val="3CB30EF0"/>
    <w:rsid w:val="3DD0AF1F"/>
    <w:rsid w:val="41AED27A"/>
    <w:rsid w:val="44D2165E"/>
    <w:rsid w:val="45760AB8"/>
    <w:rsid w:val="4678BC40"/>
    <w:rsid w:val="46B3C343"/>
    <w:rsid w:val="473BEB7A"/>
    <w:rsid w:val="49A5218B"/>
    <w:rsid w:val="49E30780"/>
    <w:rsid w:val="4A2D13DE"/>
    <w:rsid w:val="4D110F81"/>
    <w:rsid w:val="4D6DD977"/>
    <w:rsid w:val="4D8F430C"/>
    <w:rsid w:val="510666A5"/>
    <w:rsid w:val="515B6C5D"/>
    <w:rsid w:val="519266E1"/>
    <w:rsid w:val="547ADB6A"/>
    <w:rsid w:val="54BAC1A1"/>
    <w:rsid w:val="557FA0FF"/>
    <w:rsid w:val="589A9A4A"/>
    <w:rsid w:val="5AEB47B5"/>
    <w:rsid w:val="5D91E6AF"/>
    <w:rsid w:val="5FC8E072"/>
    <w:rsid w:val="60854C7D"/>
    <w:rsid w:val="618FF229"/>
    <w:rsid w:val="6379D446"/>
    <w:rsid w:val="6381A048"/>
    <w:rsid w:val="647DF85C"/>
    <w:rsid w:val="65B0D972"/>
    <w:rsid w:val="65D0C7EF"/>
    <w:rsid w:val="674E108D"/>
    <w:rsid w:val="6A3600DD"/>
    <w:rsid w:val="6A3B4104"/>
    <w:rsid w:val="6B0ABC65"/>
    <w:rsid w:val="6E028FF0"/>
    <w:rsid w:val="6E1E1B20"/>
    <w:rsid w:val="6E22AD9B"/>
    <w:rsid w:val="6E22ECF9"/>
    <w:rsid w:val="6E32238E"/>
    <w:rsid w:val="703E0DE4"/>
    <w:rsid w:val="73BF5AAE"/>
    <w:rsid w:val="73CB7761"/>
    <w:rsid w:val="73D537A8"/>
    <w:rsid w:val="75924B98"/>
    <w:rsid w:val="760D25C8"/>
    <w:rsid w:val="7751CA6D"/>
    <w:rsid w:val="77AF284F"/>
    <w:rsid w:val="77CEB8C1"/>
    <w:rsid w:val="79B41F20"/>
    <w:rsid w:val="7AB955C1"/>
    <w:rsid w:val="7C739D52"/>
    <w:rsid w:val="7C85DF3D"/>
    <w:rsid w:val="7D7B7AA6"/>
    <w:rsid w:val="7DC92A4D"/>
    <w:rsid w:val="7E591B1C"/>
    <w:rsid w:val="7F9072EF"/>
    <w:rsid w:val="7FB71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0162"/>
  <w15:chartTrackingRefBased/>
  <w15:docId w15:val="{906270B0-EC80-4CB1-8C31-CB6D480B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7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7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7C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7C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7C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7C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7C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7C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7C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7C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7C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7C2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7C2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7C2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7C2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7C2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7C2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7C24"/>
    <w:rPr>
      <w:rFonts w:eastAsiaTheme="majorEastAsia" w:cstheme="majorBidi"/>
      <w:color w:val="272727" w:themeColor="text1" w:themeTint="D8"/>
    </w:rPr>
  </w:style>
  <w:style w:type="paragraph" w:styleId="Titre">
    <w:name w:val="Title"/>
    <w:basedOn w:val="Normal"/>
    <w:next w:val="Normal"/>
    <w:link w:val="TitreCar"/>
    <w:uiPriority w:val="10"/>
    <w:qFormat/>
    <w:rsid w:val="00947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7C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7C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7C2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7C24"/>
    <w:pPr>
      <w:spacing w:before="160"/>
      <w:jc w:val="center"/>
    </w:pPr>
    <w:rPr>
      <w:i/>
      <w:iCs/>
      <w:color w:val="404040" w:themeColor="text1" w:themeTint="BF"/>
    </w:rPr>
  </w:style>
  <w:style w:type="character" w:customStyle="1" w:styleId="CitationCar">
    <w:name w:val="Citation Car"/>
    <w:basedOn w:val="Policepardfaut"/>
    <w:link w:val="Citation"/>
    <w:uiPriority w:val="29"/>
    <w:rsid w:val="00947C24"/>
    <w:rPr>
      <w:i/>
      <w:iCs/>
      <w:color w:val="404040" w:themeColor="text1" w:themeTint="BF"/>
    </w:rPr>
  </w:style>
  <w:style w:type="paragraph" w:styleId="Paragraphedeliste">
    <w:name w:val="List Paragraph"/>
    <w:basedOn w:val="Normal"/>
    <w:uiPriority w:val="34"/>
    <w:qFormat/>
    <w:rsid w:val="00947C24"/>
    <w:pPr>
      <w:ind w:left="720"/>
      <w:contextualSpacing/>
    </w:pPr>
  </w:style>
  <w:style w:type="character" w:styleId="Accentuationintense">
    <w:name w:val="Intense Emphasis"/>
    <w:basedOn w:val="Policepardfaut"/>
    <w:uiPriority w:val="21"/>
    <w:qFormat/>
    <w:rsid w:val="00947C24"/>
    <w:rPr>
      <w:i/>
      <w:iCs/>
      <w:color w:val="0F4761" w:themeColor="accent1" w:themeShade="BF"/>
    </w:rPr>
  </w:style>
  <w:style w:type="paragraph" w:styleId="Citationintense">
    <w:name w:val="Intense Quote"/>
    <w:basedOn w:val="Normal"/>
    <w:next w:val="Normal"/>
    <w:link w:val="CitationintenseCar"/>
    <w:uiPriority w:val="30"/>
    <w:qFormat/>
    <w:rsid w:val="00947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7C24"/>
    <w:rPr>
      <w:i/>
      <w:iCs/>
      <w:color w:val="0F4761" w:themeColor="accent1" w:themeShade="BF"/>
    </w:rPr>
  </w:style>
  <w:style w:type="character" w:styleId="Rfrenceintense">
    <w:name w:val="Intense Reference"/>
    <w:basedOn w:val="Policepardfaut"/>
    <w:uiPriority w:val="32"/>
    <w:qFormat/>
    <w:rsid w:val="00947C24"/>
    <w:rPr>
      <w:b/>
      <w:bCs/>
      <w:smallCaps/>
      <w:color w:val="0F4761" w:themeColor="accent1" w:themeShade="BF"/>
      <w:spacing w:val="5"/>
    </w:rPr>
  </w:style>
  <w:style w:type="table" w:styleId="Grilledutableau">
    <w:name w:val="Table Grid"/>
    <w:basedOn w:val="TableauNormal"/>
    <w:uiPriority w:val="39"/>
    <w:rsid w:val="0094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4">
    <w:name w:val="Grid Table 4 Accent 4"/>
    <w:basedOn w:val="TableauNormal"/>
    <w:uiPriority w:val="49"/>
    <w:rsid w:val="00947C2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4-Accentuation1">
    <w:name w:val="Grid Table 4 Accent 1"/>
    <w:basedOn w:val="TableauNormal"/>
    <w:uiPriority w:val="49"/>
    <w:rsid w:val="0099481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vision">
    <w:name w:val="Revision"/>
    <w:hidden/>
    <w:uiPriority w:val="99"/>
    <w:semiHidden/>
    <w:rsid w:val="00A70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8F69-04EA-48E0-86DB-3594F6B7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5DFFB-4CD2-43EE-8891-84E6E895F620}">
  <ds:schemaRefs>
    <ds:schemaRef ds:uri="http://schemas.microsoft.com/sharepoint/v3/contenttype/forms"/>
  </ds:schemaRefs>
</ds:datastoreItem>
</file>

<file path=customXml/itemProps3.xml><?xml version="1.0" encoding="utf-8"?>
<ds:datastoreItem xmlns:ds="http://schemas.openxmlformats.org/officeDocument/2006/customXml" ds:itemID="{49DD281E-759E-4AE3-8317-657EC31548EB}">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4.xml><?xml version="1.0" encoding="utf-8"?>
<ds:datastoreItem xmlns:ds="http://schemas.openxmlformats.org/officeDocument/2006/customXml" ds:itemID="{F956CD06-BA65-48FB-ABD9-55935115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RODRIGUEZ</dc:creator>
  <cp:keywords/>
  <dc:description/>
  <cp:lastModifiedBy>Malou VOSSAERT</cp:lastModifiedBy>
  <cp:revision>7</cp:revision>
  <dcterms:created xsi:type="dcterms:W3CDTF">2025-04-01T10:56:00Z</dcterms:created>
  <dcterms:modified xsi:type="dcterms:W3CDTF">2025-04-04T09:28:00Z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